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B5" w:rsidRPr="00855681" w:rsidRDefault="00332FFD" w:rsidP="00855681">
      <w:pPr>
        <w:spacing w:line="240" w:lineRule="auto"/>
        <w:jc w:val="center"/>
        <w:rPr>
          <w:rFonts w:ascii="Times New Roman" w:hAnsi="Times New Roman" w:cs="Times New Roman"/>
          <w:b/>
          <w:sz w:val="24"/>
          <w:szCs w:val="24"/>
        </w:rPr>
      </w:pPr>
      <w:r w:rsidRPr="00855681">
        <w:rPr>
          <w:rFonts w:ascii="Times New Roman" w:hAnsi="Times New Roman" w:cs="Times New Roman"/>
          <w:b/>
          <w:sz w:val="24"/>
          <w:szCs w:val="24"/>
        </w:rPr>
        <w:t>RECONNAISSANCE PUBLIQUE – Fonds de soutien fédéral à la</w:t>
      </w:r>
      <w:r w:rsidR="00106EB5" w:rsidRPr="00855681">
        <w:rPr>
          <w:rFonts w:ascii="Times New Roman" w:hAnsi="Times New Roman" w:cs="Times New Roman"/>
          <w:b/>
          <w:sz w:val="24"/>
          <w:szCs w:val="24"/>
        </w:rPr>
        <w:t xml:space="preserve"> </w:t>
      </w:r>
      <w:r w:rsidRPr="00855681">
        <w:rPr>
          <w:rFonts w:ascii="Times New Roman" w:hAnsi="Times New Roman" w:cs="Times New Roman"/>
          <w:b/>
          <w:sz w:val="24"/>
          <w:szCs w:val="24"/>
        </w:rPr>
        <w:t>recherche</w:t>
      </w:r>
    </w:p>
    <w:p w:rsidR="00332FFD" w:rsidRPr="00855681" w:rsidRDefault="00332FFD" w:rsidP="00855681">
      <w:pPr>
        <w:spacing w:line="240" w:lineRule="auto"/>
        <w:jc w:val="center"/>
        <w:rPr>
          <w:rFonts w:ascii="Times New Roman" w:hAnsi="Times New Roman" w:cs="Times New Roman"/>
          <w:sz w:val="24"/>
          <w:szCs w:val="24"/>
        </w:rPr>
      </w:pPr>
      <w:r w:rsidRPr="00855681">
        <w:rPr>
          <w:rFonts w:ascii="Times New Roman" w:hAnsi="Times New Roman" w:cs="Times New Roman"/>
          <w:b/>
          <w:sz w:val="24"/>
          <w:szCs w:val="24"/>
        </w:rPr>
        <w:t>Université Laurentienne</w:t>
      </w:r>
    </w:p>
    <w:p w:rsidR="00251384" w:rsidRPr="00855681" w:rsidRDefault="00251384" w:rsidP="00855681">
      <w:pPr>
        <w:spacing w:line="240" w:lineRule="auto"/>
        <w:rPr>
          <w:rFonts w:ascii="Times New Roman" w:hAnsi="Times New Roman" w:cs="Times New Roman"/>
          <w:b/>
          <w:sz w:val="24"/>
          <w:szCs w:val="24"/>
        </w:rPr>
      </w:pPr>
      <w:r w:rsidRPr="00855681">
        <w:rPr>
          <w:rFonts w:ascii="Times New Roman" w:hAnsi="Times New Roman" w:cs="Times New Roman"/>
          <w:b/>
          <w:sz w:val="24"/>
          <w:szCs w:val="24"/>
        </w:rPr>
        <w:t>Que sont les coûts indirects de la recherche?</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Pour que les projets de recherche puissent être entrepris, il y a une foule de besoins </w:t>
      </w:r>
      <w:r w:rsidR="00106EB5" w:rsidRPr="00855681">
        <w:rPr>
          <w:rFonts w:ascii="Times New Roman" w:hAnsi="Times New Roman" w:cs="Times New Roman"/>
          <w:sz w:val="24"/>
          <w:szCs w:val="24"/>
        </w:rPr>
        <w:t>pratiques</w:t>
      </w:r>
      <w:r w:rsidR="000200BE">
        <w:rPr>
          <w:rFonts w:ascii="Times New Roman" w:hAnsi="Times New Roman" w:cs="Times New Roman"/>
          <w:sz w:val="24"/>
          <w:szCs w:val="24"/>
        </w:rPr>
        <w:t xml:space="preserve"> et</w:t>
      </w:r>
      <w:r w:rsidR="00106EB5" w:rsidRPr="00855681">
        <w:rPr>
          <w:rFonts w:ascii="Times New Roman" w:hAnsi="Times New Roman" w:cs="Times New Roman"/>
          <w:sz w:val="24"/>
          <w:szCs w:val="24"/>
        </w:rPr>
        <w:t xml:space="preserve"> </w:t>
      </w:r>
      <w:r w:rsidRPr="00855681">
        <w:rPr>
          <w:rFonts w:ascii="Times New Roman" w:hAnsi="Times New Roman" w:cs="Times New Roman"/>
          <w:sz w:val="24"/>
          <w:szCs w:val="24"/>
        </w:rPr>
        <w:t xml:space="preserve">quotidiens qui doivent </w:t>
      </w:r>
      <w:r w:rsidR="000200BE">
        <w:rPr>
          <w:rFonts w:ascii="Times New Roman" w:hAnsi="Times New Roman" w:cs="Times New Roman"/>
          <w:sz w:val="24"/>
          <w:szCs w:val="24"/>
        </w:rPr>
        <w:t xml:space="preserve">être </w:t>
      </w:r>
      <w:r w:rsidRPr="00855681">
        <w:rPr>
          <w:rFonts w:ascii="Times New Roman" w:hAnsi="Times New Roman" w:cs="Times New Roman"/>
          <w:sz w:val="24"/>
          <w:szCs w:val="24"/>
        </w:rPr>
        <w:t>pris en charge et assurés. Ces besoins, qui peuvent passer inaperçus pour peu qu</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on n</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y pense pas, entraînent des coûts,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où le nom « coûts indirects de la recherche ». Certains de ces coûts sont spécifiques et englobent les frais discrets engagés par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Université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appui des activités de recherche </w:t>
      </w:r>
      <w:r w:rsidR="00106EB5" w:rsidRPr="00855681">
        <w:rPr>
          <w:rFonts w:ascii="Times New Roman" w:hAnsi="Times New Roman" w:cs="Times New Roman"/>
          <w:sz w:val="24"/>
          <w:szCs w:val="24"/>
        </w:rPr>
        <w:t xml:space="preserve">au jour le jour. </w:t>
      </w:r>
      <w:r w:rsidRPr="00855681">
        <w:rPr>
          <w:rFonts w:ascii="Times New Roman" w:hAnsi="Times New Roman" w:cs="Times New Roman"/>
          <w:sz w:val="24"/>
          <w:szCs w:val="24"/>
        </w:rPr>
        <w:t>Sans les services publics (chauffage, électricité), ni la maintenance du réseau (installations informatiques), ni le personnel administratif, il serait presque impossible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entreprendre les projets de recherche. Les frais engagés pour assurer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éclairage, maintenir les serveurs de base de données ou couvrir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usure normale de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espace</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labo contribuent tous au coût indirect de la recherche.</w:t>
      </w:r>
    </w:p>
    <w:p w:rsidR="00251384" w:rsidRPr="00855681" w:rsidRDefault="00251384" w:rsidP="00855681">
      <w:pPr>
        <w:spacing w:line="240" w:lineRule="auto"/>
        <w:rPr>
          <w:rFonts w:ascii="Times New Roman" w:hAnsi="Times New Roman" w:cs="Times New Roman"/>
          <w:b/>
          <w:sz w:val="24"/>
          <w:szCs w:val="24"/>
        </w:rPr>
      </w:pPr>
      <w:r w:rsidRPr="00855681">
        <w:rPr>
          <w:rFonts w:ascii="Times New Roman" w:hAnsi="Times New Roman" w:cs="Times New Roman"/>
          <w:b/>
          <w:sz w:val="24"/>
          <w:szCs w:val="24"/>
        </w:rPr>
        <w:t>En quoi le Programme fédéral des coûts indirects est-il utile?</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En 2003, le gouvernement du Canada a instauré le Programme des coûts indirects (PCI) pour aider les établissements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enseignement postsecondaire à compenser les frais de recherche moins évidents. Prévoyant une subvention annuelle, qui contrebalance les coûts indirects de la recherche, le PCI aide les établissements universitaires à gérer ce fardeau financier et les incite à créer un environnement où les chercheurs peuvent se concentrer sur leurs activités de recherche, collaborer avec des collègues et opérer la translation efficace et rentable de leurs découvertes et innovations.</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Successeur du PCI</w:t>
      </w:r>
      <w:hyperlink r:id="rId8" w:history="1">
        <w:r w:rsidRPr="00A96F7A">
          <w:rPr>
            <w:rStyle w:val="Hyperlink"/>
            <w:rFonts w:ascii="Times New Roman" w:hAnsi="Times New Roman" w:cs="Times New Roman"/>
            <w:sz w:val="24"/>
            <w:szCs w:val="24"/>
          </w:rPr>
          <w:t>, le Fonds de soutien à la recherche (FSR)</w:t>
        </w:r>
      </w:hyperlink>
      <w:r w:rsidRPr="00855681">
        <w:rPr>
          <w:rFonts w:ascii="Times New Roman" w:hAnsi="Times New Roman" w:cs="Times New Roman"/>
          <w:sz w:val="24"/>
          <w:szCs w:val="24"/>
        </w:rPr>
        <w:t xml:space="preserve"> permet aux établissements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enseignement postsecondaire du Canada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assumer les coûts liés à la gestion de leur entreprise </w:t>
      </w:r>
      <w:r w:rsidR="00106EB5" w:rsidRPr="00855681">
        <w:rPr>
          <w:rFonts w:ascii="Times New Roman" w:hAnsi="Times New Roman" w:cs="Times New Roman"/>
          <w:sz w:val="24"/>
          <w:szCs w:val="24"/>
        </w:rPr>
        <w:t xml:space="preserve">de </w:t>
      </w:r>
      <w:r w:rsidRPr="00855681">
        <w:rPr>
          <w:rFonts w:ascii="Times New Roman" w:hAnsi="Times New Roman" w:cs="Times New Roman"/>
          <w:sz w:val="24"/>
          <w:szCs w:val="24"/>
        </w:rPr>
        <w:t xml:space="preserve">recherche, </w:t>
      </w:r>
      <w:proofErr w:type="gramStart"/>
      <w:r w:rsidRPr="00855681">
        <w:rPr>
          <w:rFonts w:ascii="Times New Roman" w:hAnsi="Times New Roman" w:cs="Times New Roman"/>
          <w:sz w:val="24"/>
          <w:szCs w:val="24"/>
        </w:rPr>
        <w:t>les aidant</w:t>
      </w:r>
      <w:proofErr w:type="gramEnd"/>
      <w:r w:rsidRPr="00855681">
        <w:rPr>
          <w:rFonts w:ascii="Times New Roman" w:hAnsi="Times New Roman" w:cs="Times New Roman"/>
          <w:sz w:val="24"/>
          <w:szCs w:val="24"/>
        </w:rPr>
        <w:t xml:space="preserve"> à maintenir un </w:t>
      </w:r>
      <w:r w:rsidR="00106EB5" w:rsidRPr="00855681">
        <w:rPr>
          <w:rFonts w:ascii="Times New Roman" w:hAnsi="Times New Roman" w:cs="Times New Roman"/>
          <w:sz w:val="24"/>
          <w:szCs w:val="24"/>
        </w:rPr>
        <w:t xml:space="preserve">milieu </w:t>
      </w:r>
      <w:r w:rsidRPr="00855681">
        <w:rPr>
          <w:rFonts w:ascii="Times New Roman" w:hAnsi="Times New Roman" w:cs="Times New Roman"/>
          <w:sz w:val="24"/>
          <w:szCs w:val="24"/>
        </w:rPr>
        <w:t>de recherche de classe mondiale.</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En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autres termes, l</w:t>
      </w:r>
      <w:r w:rsidR="00757666" w:rsidRPr="00855681">
        <w:rPr>
          <w:rFonts w:ascii="Times New Roman" w:hAnsi="Times New Roman" w:cs="Times New Roman"/>
          <w:sz w:val="24"/>
          <w:szCs w:val="24"/>
        </w:rPr>
        <w:t xml:space="preserve">e </w:t>
      </w:r>
      <w:r w:rsidRPr="00855681">
        <w:rPr>
          <w:rFonts w:ascii="Times New Roman" w:hAnsi="Times New Roman" w:cs="Times New Roman"/>
          <w:sz w:val="24"/>
          <w:szCs w:val="24"/>
        </w:rPr>
        <w:t>FSR aide les établissements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enseignement postsecondaire du Canada à supporter les dépenses liées à la gestion de la recherche financée par les trois organismes subventionnaires fédéraux (IRSC, CRSNG, CRSH), le financement accordé par ces organismes étant généralement limité aux coûts directs du projet (par exemple,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équipement de recherche, le salaire des assistants de recherche, etc.). De même, les </w:t>
      </w:r>
      <w:r w:rsidR="000200BE">
        <w:rPr>
          <w:rFonts w:ascii="Times New Roman" w:hAnsi="Times New Roman" w:cs="Times New Roman"/>
          <w:sz w:val="24"/>
          <w:szCs w:val="24"/>
        </w:rPr>
        <w:t xml:space="preserve">établissements </w:t>
      </w:r>
      <w:r w:rsidRPr="00855681">
        <w:rPr>
          <w:rFonts w:ascii="Times New Roman" w:hAnsi="Times New Roman" w:cs="Times New Roman"/>
          <w:sz w:val="24"/>
          <w:szCs w:val="24"/>
        </w:rPr>
        <w:t>dont les chercheurs reçoivent des fonds de recherche engagent aussi des coûts de gestion de leur entreprise de recherche et ces coûts sont souvent assimilés aux coûts indirects de la recherche.</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Les fonds accordés par le FSR peuvent servir à couvrir de nouvelles dépenses, à maintenir le niveau actuel des services ou à renforcer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environnement de recherche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w:t>
      </w:r>
      <w:r w:rsidR="000200BE">
        <w:rPr>
          <w:rFonts w:ascii="Times New Roman" w:hAnsi="Times New Roman" w:cs="Times New Roman"/>
          <w:sz w:val="24"/>
          <w:szCs w:val="24"/>
        </w:rPr>
        <w:t xml:space="preserve"> établissement</w:t>
      </w:r>
      <w:r w:rsidRPr="00855681">
        <w:rPr>
          <w:rFonts w:ascii="Times New Roman" w:hAnsi="Times New Roman" w:cs="Times New Roman"/>
          <w:sz w:val="24"/>
          <w:szCs w:val="24"/>
        </w:rPr>
        <w:t xml:space="preserve"> et à améliorer sa gestion. Les cinq domaines de dépenses admissibles sont les suivants :</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1. </w:t>
      </w:r>
      <w:hyperlink r:id="rId9" w:anchor="facilities" w:history="1">
        <w:r w:rsidRPr="00A96F7A">
          <w:rPr>
            <w:rStyle w:val="Hyperlink"/>
            <w:rFonts w:ascii="Times New Roman" w:hAnsi="Times New Roman" w:cs="Times New Roman"/>
            <w:sz w:val="24"/>
            <w:szCs w:val="24"/>
          </w:rPr>
          <w:t>Installations de recherche</w:t>
        </w:r>
      </w:hyperlink>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2. </w:t>
      </w:r>
      <w:hyperlink r:id="rId10" w:anchor="ressources" w:history="1">
        <w:r w:rsidRPr="00A96F7A">
          <w:rPr>
            <w:rStyle w:val="Hyperlink"/>
            <w:rFonts w:ascii="Times New Roman" w:hAnsi="Times New Roman" w:cs="Times New Roman"/>
            <w:sz w:val="24"/>
            <w:szCs w:val="24"/>
          </w:rPr>
          <w:t>Ressources de recherche</w:t>
        </w:r>
      </w:hyperlink>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3. </w:t>
      </w:r>
      <w:hyperlink r:id="rId11" w:anchor="gestion" w:history="1">
        <w:r w:rsidRPr="00A96F7A">
          <w:rPr>
            <w:rStyle w:val="Hyperlink"/>
            <w:rFonts w:ascii="Times New Roman" w:hAnsi="Times New Roman" w:cs="Times New Roman"/>
            <w:sz w:val="24"/>
            <w:szCs w:val="24"/>
          </w:rPr>
          <w:t>Gestion et administration d</w:t>
        </w:r>
        <w:r w:rsidR="00106EB5" w:rsidRPr="00A96F7A">
          <w:rPr>
            <w:rStyle w:val="Hyperlink"/>
            <w:rFonts w:ascii="Times New Roman" w:hAnsi="Times New Roman" w:cs="Times New Roman"/>
            <w:sz w:val="24"/>
            <w:szCs w:val="24"/>
          </w:rPr>
          <w:t>’</w:t>
        </w:r>
        <w:r w:rsidRPr="00A96F7A">
          <w:rPr>
            <w:rStyle w:val="Hyperlink"/>
            <w:rFonts w:ascii="Times New Roman" w:hAnsi="Times New Roman" w:cs="Times New Roman"/>
            <w:sz w:val="24"/>
            <w:szCs w:val="24"/>
          </w:rPr>
          <w:t>une entreprise de recherche de l</w:t>
        </w:r>
        <w:r w:rsidR="00106EB5" w:rsidRPr="00A96F7A">
          <w:rPr>
            <w:rStyle w:val="Hyperlink"/>
            <w:rFonts w:ascii="Times New Roman" w:hAnsi="Times New Roman" w:cs="Times New Roman"/>
            <w:sz w:val="24"/>
            <w:szCs w:val="24"/>
          </w:rPr>
          <w:t>’</w:t>
        </w:r>
        <w:r w:rsidR="000200BE" w:rsidRPr="00A96F7A">
          <w:rPr>
            <w:rStyle w:val="Hyperlink"/>
            <w:rFonts w:ascii="Times New Roman" w:hAnsi="Times New Roman" w:cs="Times New Roman"/>
            <w:sz w:val="24"/>
            <w:szCs w:val="24"/>
          </w:rPr>
          <w:t>établissement</w:t>
        </w:r>
      </w:hyperlink>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4. </w:t>
      </w:r>
      <w:hyperlink r:id="rId12" w:anchor="exigences" w:history="1">
        <w:r w:rsidRPr="00A96F7A">
          <w:rPr>
            <w:rStyle w:val="Hyperlink"/>
            <w:rFonts w:ascii="Times New Roman" w:hAnsi="Times New Roman" w:cs="Times New Roman"/>
            <w:sz w:val="24"/>
            <w:szCs w:val="24"/>
          </w:rPr>
          <w:t>Exigences réglementaires et a</w:t>
        </w:r>
        <w:r w:rsidR="000200BE" w:rsidRPr="00A96F7A">
          <w:rPr>
            <w:rStyle w:val="Hyperlink"/>
            <w:rFonts w:ascii="Times New Roman" w:hAnsi="Times New Roman" w:cs="Times New Roman"/>
            <w:sz w:val="24"/>
            <w:szCs w:val="24"/>
          </w:rPr>
          <w:t>grément</w:t>
        </w:r>
      </w:hyperlink>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5. </w:t>
      </w:r>
      <w:hyperlink r:id="rId13" w:anchor="exigences" w:history="1">
        <w:r w:rsidRPr="00A96F7A">
          <w:rPr>
            <w:rStyle w:val="Hyperlink"/>
            <w:rFonts w:ascii="Times New Roman" w:hAnsi="Times New Roman" w:cs="Times New Roman"/>
            <w:sz w:val="24"/>
            <w:szCs w:val="24"/>
          </w:rPr>
          <w:t>Propriété intellectuelle et mobilisation des connaissances</w:t>
        </w:r>
      </w:hyperlink>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lastRenderedPageBreak/>
        <w:t>Dans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ensemble, les subventions des coûts indirects doivent s</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ajouter aux fonds de soutien à la recherche, et non </w:t>
      </w:r>
      <w:r w:rsidR="00F72C8E">
        <w:rPr>
          <w:rFonts w:ascii="Times New Roman" w:hAnsi="Times New Roman" w:cs="Times New Roman"/>
          <w:sz w:val="24"/>
          <w:szCs w:val="24"/>
        </w:rPr>
        <w:t>d</w:t>
      </w:r>
      <w:r w:rsidR="006237C0">
        <w:rPr>
          <w:rFonts w:ascii="Times New Roman" w:hAnsi="Times New Roman" w:cs="Times New Roman"/>
          <w:sz w:val="24"/>
          <w:szCs w:val="24"/>
        </w:rPr>
        <w:t>’</w:t>
      </w:r>
      <w:r w:rsidRPr="00855681">
        <w:rPr>
          <w:rFonts w:ascii="Times New Roman" w:hAnsi="Times New Roman" w:cs="Times New Roman"/>
          <w:sz w:val="24"/>
          <w:szCs w:val="24"/>
        </w:rPr>
        <w:t>en déduire, que les établissements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enseignement postsecondaire ont reçus du gouvernement provincial, du secteur privé ou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autres sources fédérales.</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Que les subventions soient affectées au maintien des bibliothèques, des laboratoires ou des espaces de mise en réseau de la recherche, ou encore au soutien technique voulu par un site Web de l</w:t>
      </w:r>
      <w:r w:rsidR="00106EB5" w:rsidRPr="00855681">
        <w:rPr>
          <w:rFonts w:ascii="Times New Roman" w:hAnsi="Times New Roman" w:cs="Times New Roman"/>
          <w:sz w:val="24"/>
          <w:szCs w:val="24"/>
        </w:rPr>
        <w:t>’</w:t>
      </w:r>
      <w:r w:rsidR="000200BE">
        <w:rPr>
          <w:rFonts w:ascii="Times New Roman" w:hAnsi="Times New Roman" w:cs="Times New Roman"/>
          <w:sz w:val="24"/>
          <w:szCs w:val="24"/>
        </w:rPr>
        <w:t>établissement</w:t>
      </w:r>
      <w:r w:rsidRPr="00855681">
        <w:rPr>
          <w:rFonts w:ascii="Times New Roman" w:hAnsi="Times New Roman" w:cs="Times New Roman"/>
          <w:sz w:val="24"/>
          <w:szCs w:val="24"/>
        </w:rPr>
        <w:t xml:space="preserve"> ou le système informatique de sa bibliothèque,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objectif général du FSR est de contribuer à s</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assurer que les établissements de recherche du Canada demeurent parmi les meilleurs dans le monde. En allégeant le fardeau financier que sont les coûts indirects, le FSR, en dernière analyse, permet aux chercheurs et aux universités à se vouer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excellence caractérisée par la recherche innovatrice et la qualité de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érudition.</w:t>
      </w:r>
    </w:p>
    <w:p w:rsidR="00251384" w:rsidRPr="00855681" w:rsidRDefault="00251384" w:rsidP="00855681">
      <w:pPr>
        <w:spacing w:line="240" w:lineRule="auto"/>
        <w:rPr>
          <w:rFonts w:ascii="Times New Roman" w:hAnsi="Times New Roman" w:cs="Times New Roman"/>
          <w:b/>
          <w:sz w:val="24"/>
          <w:szCs w:val="24"/>
        </w:rPr>
      </w:pPr>
      <w:r w:rsidRPr="00855681">
        <w:rPr>
          <w:rFonts w:ascii="Times New Roman" w:hAnsi="Times New Roman" w:cs="Times New Roman"/>
          <w:b/>
          <w:sz w:val="24"/>
          <w:szCs w:val="24"/>
        </w:rPr>
        <w:t>Attribution de subventions à l</w:t>
      </w:r>
      <w:r w:rsidR="00106EB5" w:rsidRPr="00855681">
        <w:rPr>
          <w:rFonts w:ascii="Times New Roman" w:hAnsi="Times New Roman" w:cs="Times New Roman"/>
          <w:b/>
          <w:sz w:val="24"/>
          <w:szCs w:val="24"/>
        </w:rPr>
        <w:t>’</w:t>
      </w:r>
      <w:r w:rsidRPr="00855681">
        <w:rPr>
          <w:rFonts w:ascii="Times New Roman" w:hAnsi="Times New Roman" w:cs="Times New Roman"/>
          <w:b/>
          <w:sz w:val="24"/>
          <w:szCs w:val="24"/>
        </w:rPr>
        <w:t>Université Laurentienne au titre des coûts indirects</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Le montant</w:t>
      </w:r>
      <w:r w:rsidR="000200BE">
        <w:rPr>
          <w:rFonts w:ascii="Times New Roman" w:hAnsi="Times New Roman" w:cs="Times New Roman"/>
          <w:sz w:val="24"/>
          <w:szCs w:val="24"/>
        </w:rPr>
        <w:t>,</w:t>
      </w:r>
      <w:r w:rsidRPr="00855681">
        <w:rPr>
          <w:rFonts w:ascii="Times New Roman" w:hAnsi="Times New Roman" w:cs="Times New Roman"/>
          <w:sz w:val="24"/>
          <w:szCs w:val="24"/>
        </w:rPr>
        <w:t xml:space="preserve"> que reçoit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Université Laurentienne (UL) au titre de subventions des coûts indirects</w:t>
      </w:r>
      <w:r w:rsidR="000200BE">
        <w:rPr>
          <w:rFonts w:ascii="Times New Roman" w:hAnsi="Times New Roman" w:cs="Times New Roman"/>
          <w:sz w:val="24"/>
          <w:szCs w:val="24"/>
        </w:rPr>
        <w:t>,</w:t>
      </w:r>
      <w:r w:rsidRPr="00855681">
        <w:rPr>
          <w:rFonts w:ascii="Times New Roman" w:hAnsi="Times New Roman" w:cs="Times New Roman"/>
          <w:sz w:val="24"/>
          <w:szCs w:val="24"/>
        </w:rPr>
        <w:t xml:space="preserve"> est calculé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après un algorithme qui tient compte du financement accordé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exercice précédent par les organismes subventionnaires fédéraux. Sur la base de ce calcul, en 2014-2015,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UL a reçu une subvention de 1 621 114 $ qui a été affectée aux cinq catégories comme le montre le graphique ci-dessous.</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UL a investi les fonds dans des </w:t>
      </w:r>
      <w:r w:rsidRPr="00855681">
        <w:rPr>
          <w:rFonts w:ascii="Times New Roman" w:hAnsi="Times New Roman" w:cs="Times New Roman"/>
          <w:b/>
          <w:sz w:val="24"/>
          <w:szCs w:val="24"/>
        </w:rPr>
        <w:t>installations</w:t>
      </w:r>
      <w:r w:rsidRPr="00855681">
        <w:rPr>
          <w:rFonts w:ascii="Times New Roman" w:hAnsi="Times New Roman" w:cs="Times New Roman"/>
          <w:sz w:val="24"/>
          <w:szCs w:val="24"/>
        </w:rPr>
        <w:t xml:space="preserve">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appui du soutien et du maintien des laboratoires et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autres espaces de recherche sur tout le campus. Ces fonds ont permis de s</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assurer que les chercheurs disposent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 espace de travail propice à la découverte et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innovation.</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Une partie importante de la subvention a été affect</w:t>
      </w:r>
      <w:r w:rsidR="000200BE">
        <w:rPr>
          <w:rFonts w:ascii="Times New Roman" w:hAnsi="Times New Roman" w:cs="Times New Roman"/>
          <w:sz w:val="24"/>
          <w:szCs w:val="24"/>
        </w:rPr>
        <w:t xml:space="preserve">ée </w:t>
      </w:r>
      <w:r w:rsidRPr="00855681">
        <w:rPr>
          <w:rFonts w:ascii="Times New Roman" w:hAnsi="Times New Roman" w:cs="Times New Roman"/>
          <w:sz w:val="24"/>
          <w:szCs w:val="24"/>
        </w:rPr>
        <w:t xml:space="preserve">aux </w:t>
      </w:r>
      <w:r w:rsidRPr="00855681">
        <w:rPr>
          <w:rFonts w:ascii="Times New Roman" w:hAnsi="Times New Roman" w:cs="Times New Roman"/>
          <w:b/>
          <w:sz w:val="24"/>
          <w:szCs w:val="24"/>
        </w:rPr>
        <w:t>ressources de la recherche</w:t>
      </w:r>
      <w:r w:rsidRPr="00855681">
        <w:rPr>
          <w:rFonts w:ascii="Times New Roman" w:hAnsi="Times New Roman" w:cs="Times New Roman"/>
          <w:sz w:val="24"/>
          <w:szCs w:val="24"/>
        </w:rPr>
        <w:t xml:space="preserve"> pour s</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assurer de la disponibilité et de la pertinence du matériel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appui de la recherche et de la formation au premier cycle, aux cycles supérieurs et au niveau des professeurs. Le maintien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une bibliothèque, un référentiel de connaissances, est au cœur même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w:t>
      </w:r>
      <w:r w:rsidR="000200BE">
        <w:rPr>
          <w:rFonts w:ascii="Times New Roman" w:hAnsi="Times New Roman" w:cs="Times New Roman"/>
          <w:sz w:val="24"/>
          <w:szCs w:val="24"/>
        </w:rPr>
        <w:t xml:space="preserve"> établissement </w:t>
      </w:r>
      <w:r w:rsidRPr="00855681">
        <w:rPr>
          <w:rFonts w:ascii="Times New Roman" w:hAnsi="Times New Roman" w:cs="Times New Roman"/>
          <w:sz w:val="24"/>
          <w:szCs w:val="24"/>
        </w:rPr>
        <w:t>et constitue la pierre angulaire de son entreprise de recherche.</w:t>
      </w:r>
    </w:p>
    <w:p w:rsidR="00AB2A5A" w:rsidRDefault="00AB2A5A" w:rsidP="00855681">
      <w:pPr>
        <w:spacing w:line="240" w:lineRule="auto"/>
        <w:rPr>
          <w:rFonts w:ascii="Times New Roman" w:hAnsi="Times New Roman" w:cs="Times New Roman"/>
          <w:sz w:val="24"/>
          <w:szCs w:val="24"/>
        </w:rPr>
      </w:pPr>
      <w:r>
        <w:rPr>
          <w:noProof/>
          <w:lang w:val="en-CA" w:eastAsia="en-CA" w:bidi="ar-SA"/>
        </w:rPr>
        <w:drawing>
          <wp:inline distT="0" distB="0" distL="0" distR="0" wp14:anchorId="01D13A74" wp14:editId="1757096E">
            <wp:extent cx="5605463" cy="3357563"/>
            <wp:effectExtent l="0" t="0"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384" w:rsidRPr="00855681" w:rsidRDefault="00251384" w:rsidP="00855681">
      <w:pPr>
        <w:spacing w:line="240" w:lineRule="auto"/>
        <w:rPr>
          <w:rFonts w:ascii="Times New Roman" w:hAnsi="Times New Roman" w:cs="Times New Roman"/>
          <w:sz w:val="24"/>
          <w:szCs w:val="24"/>
        </w:rPr>
      </w:pPr>
      <w:bookmarkStart w:id="0" w:name="_GoBack"/>
      <w:bookmarkEnd w:id="0"/>
      <w:r w:rsidRPr="00855681">
        <w:rPr>
          <w:rFonts w:ascii="Times New Roman" w:hAnsi="Times New Roman" w:cs="Times New Roman"/>
          <w:sz w:val="24"/>
          <w:szCs w:val="24"/>
        </w:rPr>
        <w:lastRenderedPageBreak/>
        <w:t xml:space="preserve">Les fonds de </w:t>
      </w:r>
      <w:r w:rsidRPr="00855681">
        <w:rPr>
          <w:rFonts w:ascii="Times New Roman" w:hAnsi="Times New Roman" w:cs="Times New Roman"/>
          <w:b/>
          <w:sz w:val="24"/>
          <w:szCs w:val="24"/>
        </w:rPr>
        <w:t>gestion et d</w:t>
      </w:r>
      <w:r w:rsidR="00106EB5" w:rsidRPr="00855681">
        <w:rPr>
          <w:rFonts w:ascii="Times New Roman" w:hAnsi="Times New Roman" w:cs="Times New Roman"/>
          <w:b/>
          <w:sz w:val="24"/>
          <w:szCs w:val="24"/>
        </w:rPr>
        <w:t>’</w:t>
      </w:r>
      <w:r w:rsidRPr="00855681">
        <w:rPr>
          <w:rFonts w:ascii="Times New Roman" w:hAnsi="Times New Roman" w:cs="Times New Roman"/>
          <w:b/>
          <w:sz w:val="24"/>
          <w:szCs w:val="24"/>
        </w:rPr>
        <w:t>administration</w:t>
      </w:r>
      <w:r w:rsidRPr="00855681">
        <w:rPr>
          <w:rFonts w:ascii="Times New Roman" w:hAnsi="Times New Roman" w:cs="Times New Roman"/>
          <w:sz w:val="24"/>
          <w:szCs w:val="24"/>
        </w:rPr>
        <w:t xml:space="preserve"> couvrent la rémunération (salaires et avantages sociaux) du personnel du Bureau de la recherche, du développement et de la créativité ainsi </w:t>
      </w:r>
      <w:proofErr w:type="gramStart"/>
      <w:r w:rsidRPr="00855681">
        <w:rPr>
          <w:rFonts w:ascii="Times New Roman" w:hAnsi="Times New Roman" w:cs="Times New Roman"/>
          <w:sz w:val="24"/>
          <w:szCs w:val="24"/>
        </w:rPr>
        <w:t>que</w:t>
      </w:r>
      <w:proofErr w:type="gramEnd"/>
      <w:r w:rsidRPr="00855681">
        <w:rPr>
          <w:rFonts w:ascii="Times New Roman" w:hAnsi="Times New Roman" w:cs="Times New Roman"/>
          <w:sz w:val="24"/>
          <w:szCs w:val="24"/>
        </w:rPr>
        <w:t xml:space="preserve"> du </w:t>
      </w:r>
      <w:r w:rsidR="00F72C8E">
        <w:rPr>
          <w:rFonts w:ascii="Times New Roman" w:hAnsi="Times New Roman" w:cs="Times New Roman"/>
          <w:sz w:val="24"/>
          <w:szCs w:val="24"/>
        </w:rPr>
        <w:t>B</w:t>
      </w:r>
      <w:r w:rsidRPr="00855681">
        <w:rPr>
          <w:rFonts w:ascii="Times New Roman" w:hAnsi="Times New Roman" w:cs="Times New Roman"/>
          <w:sz w:val="24"/>
          <w:szCs w:val="24"/>
        </w:rPr>
        <w:t xml:space="preserve">ureau </w:t>
      </w:r>
      <w:r w:rsidR="00F72C8E">
        <w:rPr>
          <w:rFonts w:ascii="Times New Roman" w:hAnsi="Times New Roman" w:cs="Times New Roman"/>
          <w:sz w:val="24"/>
          <w:szCs w:val="24"/>
        </w:rPr>
        <w:t>d</w:t>
      </w:r>
      <w:r w:rsidR="006237C0">
        <w:rPr>
          <w:rFonts w:ascii="Times New Roman" w:hAnsi="Times New Roman" w:cs="Times New Roman"/>
          <w:sz w:val="24"/>
          <w:szCs w:val="24"/>
        </w:rPr>
        <w:t>’</w:t>
      </w:r>
      <w:r w:rsidR="00F72C8E">
        <w:rPr>
          <w:rFonts w:ascii="Times New Roman" w:hAnsi="Times New Roman" w:cs="Times New Roman"/>
          <w:sz w:val="24"/>
          <w:szCs w:val="24"/>
        </w:rPr>
        <w:t>a</w:t>
      </w:r>
      <w:r w:rsidRPr="00855681">
        <w:rPr>
          <w:rFonts w:ascii="Times New Roman" w:hAnsi="Times New Roman" w:cs="Times New Roman"/>
          <w:sz w:val="24"/>
          <w:szCs w:val="24"/>
        </w:rPr>
        <w:t>ide financière. Ces deux bureaux et leurs équipe</w:t>
      </w:r>
      <w:r w:rsidR="00757666" w:rsidRPr="00855681">
        <w:rPr>
          <w:rFonts w:ascii="Times New Roman" w:hAnsi="Times New Roman" w:cs="Times New Roman"/>
          <w:sz w:val="24"/>
          <w:szCs w:val="24"/>
        </w:rPr>
        <w:t>s</w:t>
      </w:r>
      <w:r w:rsidRPr="00855681">
        <w:rPr>
          <w:rFonts w:ascii="Times New Roman" w:hAnsi="Times New Roman" w:cs="Times New Roman"/>
          <w:sz w:val="24"/>
          <w:szCs w:val="24"/>
        </w:rPr>
        <w:t xml:space="preserve"> font partie des services centraux qui facilitent et administrent les fonctions de soutien préalable et postérieur aux octrois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appui des initiatives de recherche.</w:t>
      </w:r>
    </w:p>
    <w:p w:rsidR="00251384"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 xml:space="preserve">Les fonds affectés aux fins des </w:t>
      </w:r>
      <w:r w:rsidRPr="00855681">
        <w:rPr>
          <w:rFonts w:ascii="Times New Roman" w:hAnsi="Times New Roman" w:cs="Times New Roman"/>
          <w:b/>
          <w:sz w:val="24"/>
          <w:szCs w:val="24"/>
        </w:rPr>
        <w:t>exigences réglementaires et d</w:t>
      </w:r>
      <w:r w:rsidR="00106EB5" w:rsidRPr="00855681">
        <w:rPr>
          <w:rFonts w:ascii="Times New Roman" w:hAnsi="Times New Roman" w:cs="Times New Roman"/>
          <w:b/>
          <w:sz w:val="24"/>
          <w:szCs w:val="24"/>
        </w:rPr>
        <w:t>’</w:t>
      </w:r>
      <w:r w:rsidRPr="00855681">
        <w:rPr>
          <w:rFonts w:ascii="Times New Roman" w:hAnsi="Times New Roman" w:cs="Times New Roman"/>
          <w:b/>
          <w:sz w:val="24"/>
          <w:szCs w:val="24"/>
        </w:rPr>
        <w:t>a</w:t>
      </w:r>
      <w:r w:rsidR="000200BE">
        <w:rPr>
          <w:rFonts w:ascii="Times New Roman" w:hAnsi="Times New Roman" w:cs="Times New Roman"/>
          <w:b/>
          <w:sz w:val="24"/>
          <w:szCs w:val="24"/>
        </w:rPr>
        <w:t>grément</w:t>
      </w:r>
      <w:r w:rsidRPr="00855681">
        <w:rPr>
          <w:rFonts w:ascii="Times New Roman" w:hAnsi="Times New Roman" w:cs="Times New Roman"/>
          <w:sz w:val="24"/>
          <w:szCs w:val="24"/>
        </w:rPr>
        <w:t xml:space="preserve"> permettent au personnel chargé de la certification de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 xml:space="preserve">animalerie et </w:t>
      </w:r>
      <w:r w:rsidR="006237C0">
        <w:rPr>
          <w:rFonts w:ascii="Times New Roman" w:hAnsi="Times New Roman" w:cs="Times New Roman"/>
          <w:sz w:val="24"/>
          <w:szCs w:val="24"/>
        </w:rPr>
        <w:t>de l’</w:t>
      </w:r>
      <w:r w:rsidRPr="00855681">
        <w:rPr>
          <w:rFonts w:ascii="Times New Roman" w:hAnsi="Times New Roman" w:cs="Times New Roman"/>
          <w:sz w:val="24"/>
          <w:szCs w:val="24"/>
        </w:rPr>
        <w:t xml:space="preserve">éthique </w:t>
      </w:r>
      <w:r w:rsidR="006237C0">
        <w:rPr>
          <w:rFonts w:ascii="Times New Roman" w:hAnsi="Times New Roman" w:cs="Times New Roman"/>
          <w:sz w:val="24"/>
          <w:szCs w:val="24"/>
        </w:rPr>
        <w:t xml:space="preserve">de la recherche </w:t>
      </w:r>
      <w:r w:rsidRPr="00855681">
        <w:rPr>
          <w:rFonts w:ascii="Times New Roman" w:hAnsi="Times New Roman" w:cs="Times New Roman"/>
          <w:sz w:val="24"/>
          <w:szCs w:val="24"/>
        </w:rPr>
        <w:t>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anticiper les problèmes de conformité et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agir en conséquence. Ces efforts se conjuguent pour réduire au minimum les risques à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endroit des chercheurs et de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Université et aident à faire en sorte que les fonds de recherche sont affectés uniquement aux projets qui se conforment à la réglementation et aux autres directives de conformité.</w:t>
      </w:r>
    </w:p>
    <w:p w:rsidR="008F7B9C" w:rsidRPr="00855681" w:rsidRDefault="00251384" w:rsidP="00855681">
      <w:pPr>
        <w:spacing w:line="240" w:lineRule="auto"/>
        <w:rPr>
          <w:rFonts w:ascii="Times New Roman" w:hAnsi="Times New Roman" w:cs="Times New Roman"/>
          <w:sz w:val="24"/>
          <w:szCs w:val="24"/>
        </w:rPr>
      </w:pPr>
      <w:r w:rsidRPr="00855681">
        <w:rPr>
          <w:rFonts w:ascii="Times New Roman" w:hAnsi="Times New Roman" w:cs="Times New Roman"/>
          <w:sz w:val="24"/>
          <w:szCs w:val="24"/>
        </w:rPr>
        <w:t>Les fonds consacrés à la gestion de la propriété intellectuelle ont permis la bonne exécution de contrats et d</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accords lorsqu</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il s</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agit de recherche subventionnée et de travaux menés conjointement avec l</w:t>
      </w:r>
      <w:r w:rsidR="00106EB5" w:rsidRPr="00855681">
        <w:rPr>
          <w:rFonts w:ascii="Times New Roman" w:hAnsi="Times New Roman" w:cs="Times New Roman"/>
          <w:sz w:val="24"/>
          <w:szCs w:val="24"/>
        </w:rPr>
        <w:t>’</w:t>
      </w:r>
      <w:r w:rsidRPr="00855681">
        <w:rPr>
          <w:rFonts w:ascii="Times New Roman" w:hAnsi="Times New Roman" w:cs="Times New Roman"/>
          <w:sz w:val="24"/>
          <w:szCs w:val="24"/>
        </w:rPr>
        <w:t>industrie.</w:t>
      </w:r>
    </w:p>
    <w:sectPr w:rsidR="008F7B9C" w:rsidRPr="00855681" w:rsidSect="0085568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4A" w:rsidRDefault="001A5A4A" w:rsidP="000200BE">
      <w:pPr>
        <w:spacing w:after="0" w:line="240" w:lineRule="auto"/>
      </w:pPr>
      <w:r>
        <w:separator/>
      </w:r>
    </w:p>
  </w:endnote>
  <w:endnote w:type="continuationSeparator" w:id="0">
    <w:p w:rsidR="001A5A4A" w:rsidRDefault="001A5A4A" w:rsidP="0002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4A" w:rsidRDefault="001A5A4A" w:rsidP="000200BE">
      <w:pPr>
        <w:spacing w:after="0" w:line="240" w:lineRule="auto"/>
      </w:pPr>
      <w:r>
        <w:separator/>
      </w:r>
    </w:p>
  </w:footnote>
  <w:footnote w:type="continuationSeparator" w:id="0">
    <w:p w:rsidR="001A5A4A" w:rsidRDefault="001A5A4A" w:rsidP="00020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BE" w:rsidRDefault="00020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84"/>
    <w:rsid w:val="000029D5"/>
    <w:rsid w:val="00002D52"/>
    <w:rsid w:val="000200BE"/>
    <w:rsid w:val="00023D9A"/>
    <w:rsid w:val="0002497E"/>
    <w:rsid w:val="00026C1D"/>
    <w:rsid w:val="000333D8"/>
    <w:rsid w:val="00034689"/>
    <w:rsid w:val="00035307"/>
    <w:rsid w:val="00041DC5"/>
    <w:rsid w:val="00041F72"/>
    <w:rsid w:val="00047415"/>
    <w:rsid w:val="000508B8"/>
    <w:rsid w:val="00050CED"/>
    <w:rsid w:val="00053D90"/>
    <w:rsid w:val="00056353"/>
    <w:rsid w:val="00085C7E"/>
    <w:rsid w:val="00086139"/>
    <w:rsid w:val="00087619"/>
    <w:rsid w:val="00094FC5"/>
    <w:rsid w:val="000A2618"/>
    <w:rsid w:val="000A4483"/>
    <w:rsid w:val="000B67D9"/>
    <w:rsid w:val="000C7FE9"/>
    <w:rsid w:val="000D0F09"/>
    <w:rsid w:val="000D2435"/>
    <w:rsid w:val="000D2FD0"/>
    <w:rsid w:val="000D45EC"/>
    <w:rsid w:val="000D7DED"/>
    <w:rsid w:val="000E3E12"/>
    <w:rsid w:val="000E4EF3"/>
    <w:rsid w:val="000E5EEA"/>
    <w:rsid w:val="000F56C5"/>
    <w:rsid w:val="000F69A5"/>
    <w:rsid w:val="000F6C96"/>
    <w:rsid w:val="001061D3"/>
    <w:rsid w:val="00106EB5"/>
    <w:rsid w:val="00113975"/>
    <w:rsid w:val="00114717"/>
    <w:rsid w:val="001329DF"/>
    <w:rsid w:val="001373E8"/>
    <w:rsid w:val="001410ED"/>
    <w:rsid w:val="001424A6"/>
    <w:rsid w:val="00145EDA"/>
    <w:rsid w:val="001467F2"/>
    <w:rsid w:val="001502C3"/>
    <w:rsid w:val="00150BB7"/>
    <w:rsid w:val="001520E4"/>
    <w:rsid w:val="00154C1C"/>
    <w:rsid w:val="00154D60"/>
    <w:rsid w:val="0017508D"/>
    <w:rsid w:val="00184686"/>
    <w:rsid w:val="001900B2"/>
    <w:rsid w:val="001913C5"/>
    <w:rsid w:val="001A56F4"/>
    <w:rsid w:val="001A5A4A"/>
    <w:rsid w:val="001A5C43"/>
    <w:rsid w:val="001A7FAC"/>
    <w:rsid w:val="001B05A3"/>
    <w:rsid w:val="001B223C"/>
    <w:rsid w:val="001C04CB"/>
    <w:rsid w:val="001C2901"/>
    <w:rsid w:val="001C475E"/>
    <w:rsid w:val="001C681C"/>
    <w:rsid w:val="001D49AE"/>
    <w:rsid w:val="001D5325"/>
    <w:rsid w:val="001D6C33"/>
    <w:rsid w:val="001E4B3D"/>
    <w:rsid w:val="001E61F3"/>
    <w:rsid w:val="001F09E6"/>
    <w:rsid w:val="001F0B05"/>
    <w:rsid w:val="001F257F"/>
    <w:rsid w:val="001F6551"/>
    <w:rsid w:val="00203E5B"/>
    <w:rsid w:val="00204FAF"/>
    <w:rsid w:val="00206F81"/>
    <w:rsid w:val="00207F85"/>
    <w:rsid w:val="00214509"/>
    <w:rsid w:val="00216BDD"/>
    <w:rsid w:val="00220D73"/>
    <w:rsid w:val="00220E49"/>
    <w:rsid w:val="00225EFE"/>
    <w:rsid w:val="002310C0"/>
    <w:rsid w:val="00235520"/>
    <w:rsid w:val="00243AFD"/>
    <w:rsid w:val="00250E43"/>
    <w:rsid w:val="00251384"/>
    <w:rsid w:val="00252573"/>
    <w:rsid w:val="00252A6D"/>
    <w:rsid w:val="00255A32"/>
    <w:rsid w:val="00261B2D"/>
    <w:rsid w:val="00262533"/>
    <w:rsid w:val="00262A64"/>
    <w:rsid w:val="00266CE7"/>
    <w:rsid w:val="00273CD1"/>
    <w:rsid w:val="00280E68"/>
    <w:rsid w:val="0028166C"/>
    <w:rsid w:val="00282CFC"/>
    <w:rsid w:val="0028511D"/>
    <w:rsid w:val="0029663B"/>
    <w:rsid w:val="002A3859"/>
    <w:rsid w:val="002B0CFC"/>
    <w:rsid w:val="002B4D93"/>
    <w:rsid w:val="002B73AC"/>
    <w:rsid w:val="002B7E3A"/>
    <w:rsid w:val="002C020F"/>
    <w:rsid w:val="002C12A3"/>
    <w:rsid w:val="002C2845"/>
    <w:rsid w:val="002C546A"/>
    <w:rsid w:val="002C5F38"/>
    <w:rsid w:val="002C710C"/>
    <w:rsid w:val="002E511F"/>
    <w:rsid w:val="002E53BE"/>
    <w:rsid w:val="002F056D"/>
    <w:rsid w:val="002F0F38"/>
    <w:rsid w:val="002F465D"/>
    <w:rsid w:val="002F5F7A"/>
    <w:rsid w:val="002F630F"/>
    <w:rsid w:val="002F7244"/>
    <w:rsid w:val="003050D7"/>
    <w:rsid w:val="003050F7"/>
    <w:rsid w:val="00306F3B"/>
    <w:rsid w:val="00314406"/>
    <w:rsid w:val="00314CEF"/>
    <w:rsid w:val="00326449"/>
    <w:rsid w:val="00332FFD"/>
    <w:rsid w:val="00336447"/>
    <w:rsid w:val="00345BA0"/>
    <w:rsid w:val="00347D02"/>
    <w:rsid w:val="00351931"/>
    <w:rsid w:val="00352E75"/>
    <w:rsid w:val="00363491"/>
    <w:rsid w:val="0036368E"/>
    <w:rsid w:val="00382911"/>
    <w:rsid w:val="0038514E"/>
    <w:rsid w:val="00394F27"/>
    <w:rsid w:val="00395B55"/>
    <w:rsid w:val="00397447"/>
    <w:rsid w:val="003A6CCE"/>
    <w:rsid w:val="003B0831"/>
    <w:rsid w:val="003B50FE"/>
    <w:rsid w:val="003B60DC"/>
    <w:rsid w:val="003D22BB"/>
    <w:rsid w:val="003D70FA"/>
    <w:rsid w:val="003F0670"/>
    <w:rsid w:val="003F2039"/>
    <w:rsid w:val="003F7CEA"/>
    <w:rsid w:val="00400D6E"/>
    <w:rsid w:val="00406443"/>
    <w:rsid w:val="00407291"/>
    <w:rsid w:val="004114CD"/>
    <w:rsid w:val="004122C8"/>
    <w:rsid w:val="00415167"/>
    <w:rsid w:val="004215DF"/>
    <w:rsid w:val="00430BE6"/>
    <w:rsid w:val="004448DD"/>
    <w:rsid w:val="004458B2"/>
    <w:rsid w:val="00451CF9"/>
    <w:rsid w:val="004608E1"/>
    <w:rsid w:val="00461FAA"/>
    <w:rsid w:val="00462AB8"/>
    <w:rsid w:val="0047213E"/>
    <w:rsid w:val="00476A20"/>
    <w:rsid w:val="00476BA0"/>
    <w:rsid w:val="00492191"/>
    <w:rsid w:val="004A07A6"/>
    <w:rsid w:val="004A6DAA"/>
    <w:rsid w:val="004A6EF7"/>
    <w:rsid w:val="004A79B7"/>
    <w:rsid w:val="004B0E5F"/>
    <w:rsid w:val="004B0F5C"/>
    <w:rsid w:val="004B4C37"/>
    <w:rsid w:val="004C38D1"/>
    <w:rsid w:val="004D3422"/>
    <w:rsid w:val="004D34F3"/>
    <w:rsid w:val="004D6545"/>
    <w:rsid w:val="004D7783"/>
    <w:rsid w:val="004F03B2"/>
    <w:rsid w:val="004F2500"/>
    <w:rsid w:val="004F3378"/>
    <w:rsid w:val="004F4B6B"/>
    <w:rsid w:val="004F7EBC"/>
    <w:rsid w:val="00513F98"/>
    <w:rsid w:val="00514289"/>
    <w:rsid w:val="0051564B"/>
    <w:rsid w:val="005179FB"/>
    <w:rsid w:val="00520F45"/>
    <w:rsid w:val="005213D2"/>
    <w:rsid w:val="00523196"/>
    <w:rsid w:val="005234A9"/>
    <w:rsid w:val="005323C0"/>
    <w:rsid w:val="005328E5"/>
    <w:rsid w:val="0053361C"/>
    <w:rsid w:val="00541174"/>
    <w:rsid w:val="005432B6"/>
    <w:rsid w:val="00545BEE"/>
    <w:rsid w:val="00552EBA"/>
    <w:rsid w:val="005531A9"/>
    <w:rsid w:val="00556A02"/>
    <w:rsid w:val="00563B3A"/>
    <w:rsid w:val="005645B7"/>
    <w:rsid w:val="005654A0"/>
    <w:rsid w:val="0057118A"/>
    <w:rsid w:val="00577693"/>
    <w:rsid w:val="00584017"/>
    <w:rsid w:val="0058457D"/>
    <w:rsid w:val="0058519D"/>
    <w:rsid w:val="0059681C"/>
    <w:rsid w:val="0059711B"/>
    <w:rsid w:val="005A6601"/>
    <w:rsid w:val="005A6652"/>
    <w:rsid w:val="005B16C7"/>
    <w:rsid w:val="005B3864"/>
    <w:rsid w:val="005B4D5E"/>
    <w:rsid w:val="005C19DA"/>
    <w:rsid w:val="005C6C45"/>
    <w:rsid w:val="005D34EF"/>
    <w:rsid w:val="005D3FC8"/>
    <w:rsid w:val="005E03EB"/>
    <w:rsid w:val="005F07C1"/>
    <w:rsid w:val="005F21AE"/>
    <w:rsid w:val="005F7417"/>
    <w:rsid w:val="00602EA5"/>
    <w:rsid w:val="0060496A"/>
    <w:rsid w:val="00605C21"/>
    <w:rsid w:val="00617E86"/>
    <w:rsid w:val="006237C0"/>
    <w:rsid w:val="00635BE2"/>
    <w:rsid w:val="00642DB1"/>
    <w:rsid w:val="006443DD"/>
    <w:rsid w:val="006444F8"/>
    <w:rsid w:val="006463C0"/>
    <w:rsid w:val="00646E76"/>
    <w:rsid w:val="006533F8"/>
    <w:rsid w:val="00661131"/>
    <w:rsid w:val="00664BC2"/>
    <w:rsid w:val="00666C9E"/>
    <w:rsid w:val="00675BA4"/>
    <w:rsid w:val="006832EB"/>
    <w:rsid w:val="00684669"/>
    <w:rsid w:val="00685A10"/>
    <w:rsid w:val="006920E0"/>
    <w:rsid w:val="00697837"/>
    <w:rsid w:val="006B07C8"/>
    <w:rsid w:val="006B0E1B"/>
    <w:rsid w:val="006B12A2"/>
    <w:rsid w:val="006B13BB"/>
    <w:rsid w:val="006C77A8"/>
    <w:rsid w:val="006D4CD5"/>
    <w:rsid w:val="006D5E34"/>
    <w:rsid w:val="006E1615"/>
    <w:rsid w:val="006E228A"/>
    <w:rsid w:val="006E771B"/>
    <w:rsid w:val="006F2237"/>
    <w:rsid w:val="006F3078"/>
    <w:rsid w:val="0070059A"/>
    <w:rsid w:val="00700AB7"/>
    <w:rsid w:val="00711EDD"/>
    <w:rsid w:val="007168B5"/>
    <w:rsid w:val="00720D72"/>
    <w:rsid w:val="00721680"/>
    <w:rsid w:val="00722147"/>
    <w:rsid w:val="007358DB"/>
    <w:rsid w:val="00737152"/>
    <w:rsid w:val="0074011D"/>
    <w:rsid w:val="007415BA"/>
    <w:rsid w:val="00752CE6"/>
    <w:rsid w:val="007570E4"/>
    <w:rsid w:val="00757666"/>
    <w:rsid w:val="00757EA4"/>
    <w:rsid w:val="00760539"/>
    <w:rsid w:val="00760586"/>
    <w:rsid w:val="00763114"/>
    <w:rsid w:val="00766987"/>
    <w:rsid w:val="00776D52"/>
    <w:rsid w:val="007779C4"/>
    <w:rsid w:val="0078384C"/>
    <w:rsid w:val="007857B9"/>
    <w:rsid w:val="00786784"/>
    <w:rsid w:val="00790DF6"/>
    <w:rsid w:val="00791E6E"/>
    <w:rsid w:val="00794F0D"/>
    <w:rsid w:val="007A3EF7"/>
    <w:rsid w:val="007A49B1"/>
    <w:rsid w:val="007B2BFE"/>
    <w:rsid w:val="007B356A"/>
    <w:rsid w:val="007B58FB"/>
    <w:rsid w:val="007B67C4"/>
    <w:rsid w:val="007C0BDE"/>
    <w:rsid w:val="007C12CE"/>
    <w:rsid w:val="007C1BA7"/>
    <w:rsid w:val="007C5AED"/>
    <w:rsid w:val="007C6D15"/>
    <w:rsid w:val="007C7255"/>
    <w:rsid w:val="007D4318"/>
    <w:rsid w:val="007D5686"/>
    <w:rsid w:val="007D58BC"/>
    <w:rsid w:val="007D59B7"/>
    <w:rsid w:val="007E11BE"/>
    <w:rsid w:val="007E6D29"/>
    <w:rsid w:val="00800481"/>
    <w:rsid w:val="008026A4"/>
    <w:rsid w:val="00805B84"/>
    <w:rsid w:val="00812994"/>
    <w:rsid w:val="008164A7"/>
    <w:rsid w:val="00824B0F"/>
    <w:rsid w:val="008267E5"/>
    <w:rsid w:val="00832A3A"/>
    <w:rsid w:val="008401E2"/>
    <w:rsid w:val="00853F79"/>
    <w:rsid w:val="00855681"/>
    <w:rsid w:val="00863389"/>
    <w:rsid w:val="008711D0"/>
    <w:rsid w:val="008721C9"/>
    <w:rsid w:val="00876A30"/>
    <w:rsid w:val="00895A7C"/>
    <w:rsid w:val="008969B9"/>
    <w:rsid w:val="008A1A51"/>
    <w:rsid w:val="008A1FC1"/>
    <w:rsid w:val="008A21CD"/>
    <w:rsid w:val="008A76C6"/>
    <w:rsid w:val="008B47A4"/>
    <w:rsid w:val="008B47FE"/>
    <w:rsid w:val="008B4F98"/>
    <w:rsid w:val="008D6FE3"/>
    <w:rsid w:val="008E70E5"/>
    <w:rsid w:val="008F253D"/>
    <w:rsid w:val="008F5CDC"/>
    <w:rsid w:val="008F7B9C"/>
    <w:rsid w:val="00906F6B"/>
    <w:rsid w:val="00913443"/>
    <w:rsid w:val="00913562"/>
    <w:rsid w:val="00921870"/>
    <w:rsid w:val="00926A4E"/>
    <w:rsid w:val="00927927"/>
    <w:rsid w:val="009321CF"/>
    <w:rsid w:val="00936C8C"/>
    <w:rsid w:val="00944D1E"/>
    <w:rsid w:val="00944EC3"/>
    <w:rsid w:val="009463C5"/>
    <w:rsid w:val="00952AED"/>
    <w:rsid w:val="0095638B"/>
    <w:rsid w:val="0096684E"/>
    <w:rsid w:val="009717ED"/>
    <w:rsid w:val="0097232C"/>
    <w:rsid w:val="0097565B"/>
    <w:rsid w:val="00980E8E"/>
    <w:rsid w:val="00985539"/>
    <w:rsid w:val="00986F25"/>
    <w:rsid w:val="00994E03"/>
    <w:rsid w:val="009A1C1A"/>
    <w:rsid w:val="009A327A"/>
    <w:rsid w:val="009A3D91"/>
    <w:rsid w:val="009B12DF"/>
    <w:rsid w:val="009B311F"/>
    <w:rsid w:val="009D058A"/>
    <w:rsid w:val="009D0B74"/>
    <w:rsid w:val="009D1609"/>
    <w:rsid w:val="009D39C4"/>
    <w:rsid w:val="009D3AB8"/>
    <w:rsid w:val="009D704A"/>
    <w:rsid w:val="009E14CC"/>
    <w:rsid w:val="009E210F"/>
    <w:rsid w:val="009E5553"/>
    <w:rsid w:val="009E7116"/>
    <w:rsid w:val="009F0E97"/>
    <w:rsid w:val="009F1476"/>
    <w:rsid w:val="009F4812"/>
    <w:rsid w:val="009F51CD"/>
    <w:rsid w:val="00A0392B"/>
    <w:rsid w:val="00A10A0A"/>
    <w:rsid w:val="00A10AF1"/>
    <w:rsid w:val="00A2439B"/>
    <w:rsid w:val="00A24F52"/>
    <w:rsid w:val="00A25E22"/>
    <w:rsid w:val="00A27122"/>
    <w:rsid w:val="00A37EB1"/>
    <w:rsid w:val="00A5769E"/>
    <w:rsid w:val="00A5776F"/>
    <w:rsid w:val="00A62565"/>
    <w:rsid w:val="00A62E46"/>
    <w:rsid w:val="00A63428"/>
    <w:rsid w:val="00A767F3"/>
    <w:rsid w:val="00A8263F"/>
    <w:rsid w:val="00A9051F"/>
    <w:rsid w:val="00A906BE"/>
    <w:rsid w:val="00A9422B"/>
    <w:rsid w:val="00A9588B"/>
    <w:rsid w:val="00A96F7A"/>
    <w:rsid w:val="00A97A5F"/>
    <w:rsid w:val="00A97E34"/>
    <w:rsid w:val="00AA2DAC"/>
    <w:rsid w:val="00AA655D"/>
    <w:rsid w:val="00AA6739"/>
    <w:rsid w:val="00AB2A5A"/>
    <w:rsid w:val="00AB58FD"/>
    <w:rsid w:val="00AC2118"/>
    <w:rsid w:val="00AC2AA4"/>
    <w:rsid w:val="00AC4392"/>
    <w:rsid w:val="00AC45A6"/>
    <w:rsid w:val="00AD030D"/>
    <w:rsid w:val="00AD47AA"/>
    <w:rsid w:val="00AD5980"/>
    <w:rsid w:val="00AD5D45"/>
    <w:rsid w:val="00AD6107"/>
    <w:rsid w:val="00AD76E4"/>
    <w:rsid w:val="00AE22CC"/>
    <w:rsid w:val="00AE66B0"/>
    <w:rsid w:val="00AF0095"/>
    <w:rsid w:val="00B0014B"/>
    <w:rsid w:val="00B04B35"/>
    <w:rsid w:val="00B050B0"/>
    <w:rsid w:val="00B07821"/>
    <w:rsid w:val="00B1156B"/>
    <w:rsid w:val="00B14578"/>
    <w:rsid w:val="00B17403"/>
    <w:rsid w:val="00B21210"/>
    <w:rsid w:val="00B27B63"/>
    <w:rsid w:val="00B34BB2"/>
    <w:rsid w:val="00B61354"/>
    <w:rsid w:val="00B720F1"/>
    <w:rsid w:val="00B72243"/>
    <w:rsid w:val="00B835BF"/>
    <w:rsid w:val="00B91976"/>
    <w:rsid w:val="00BB462A"/>
    <w:rsid w:val="00BB4E5F"/>
    <w:rsid w:val="00BB5644"/>
    <w:rsid w:val="00BC3CF8"/>
    <w:rsid w:val="00BC54BD"/>
    <w:rsid w:val="00BD7416"/>
    <w:rsid w:val="00BE4B16"/>
    <w:rsid w:val="00BE66C5"/>
    <w:rsid w:val="00BF1230"/>
    <w:rsid w:val="00BF1550"/>
    <w:rsid w:val="00BF72CA"/>
    <w:rsid w:val="00C03291"/>
    <w:rsid w:val="00C03859"/>
    <w:rsid w:val="00C03BD9"/>
    <w:rsid w:val="00C045BA"/>
    <w:rsid w:val="00C17FCF"/>
    <w:rsid w:val="00C25608"/>
    <w:rsid w:val="00C276E6"/>
    <w:rsid w:val="00C35871"/>
    <w:rsid w:val="00C37CB9"/>
    <w:rsid w:val="00C43C4E"/>
    <w:rsid w:val="00C453E4"/>
    <w:rsid w:val="00C519CA"/>
    <w:rsid w:val="00C51FDB"/>
    <w:rsid w:val="00C63996"/>
    <w:rsid w:val="00C63F7D"/>
    <w:rsid w:val="00C70CB7"/>
    <w:rsid w:val="00C71AEA"/>
    <w:rsid w:val="00C72092"/>
    <w:rsid w:val="00C730C3"/>
    <w:rsid w:val="00C733D7"/>
    <w:rsid w:val="00C73685"/>
    <w:rsid w:val="00C81964"/>
    <w:rsid w:val="00C91FB7"/>
    <w:rsid w:val="00C94BD3"/>
    <w:rsid w:val="00C9628D"/>
    <w:rsid w:val="00C9647A"/>
    <w:rsid w:val="00CA0E7C"/>
    <w:rsid w:val="00CA0FB1"/>
    <w:rsid w:val="00CA28EA"/>
    <w:rsid w:val="00CA2D9B"/>
    <w:rsid w:val="00CA380C"/>
    <w:rsid w:val="00CB036A"/>
    <w:rsid w:val="00CB1342"/>
    <w:rsid w:val="00CB1E48"/>
    <w:rsid w:val="00CB5066"/>
    <w:rsid w:val="00CC5ED5"/>
    <w:rsid w:val="00CD6B49"/>
    <w:rsid w:val="00CD7349"/>
    <w:rsid w:val="00CE0629"/>
    <w:rsid w:val="00CE286A"/>
    <w:rsid w:val="00CE38E7"/>
    <w:rsid w:val="00CE3CDF"/>
    <w:rsid w:val="00CE406A"/>
    <w:rsid w:val="00CF3F60"/>
    <w:rsid w:val="00CF49D5"/>
    <w:rsid w:val="00CF57C0"/>
    <w:rsid w:val="00CF5FBE"/>
    <w:rsid w:val="00D01AD2"/>
    <w:rsid w:val="00D03149"/>
    <w:rsid w:val="00D06173"/>
    <w:rsid w:val="00D12391"/>
    <w:rsid w:val="00D12DFC"/>
    <w:rsid w:val="00D15817"/>
    <w:rsid w:val="00D20CAA"/>
    <w:rsid w:val="00D223AB"/>
    <w:rsid w:val="00D25144"/>
    <w:rsid w:val="00D337A4"/>
    <w:rsid w:val="00D42DFE"/>
    <w:rsid w:val="00D5699C"/>
    <w:rsid w:val="00D57364"/>
    <w:rsid w:val="00D6009A"/>
    <w:rsid w:val="00D74468"/>
    <w:rsid w:val="00D76736"/>
    <w:rsid w:val="00D76C0A"/>
    <w:rsid w:val="00D80C38"/>
    <w:rsid w:val="00DA734D"/>
    <w:rsid w:val="00DB1C87"/>
    <w:rsid w:val="00DB4BB5"/>
    <w:rsid w:val="00DB5959"/>
    <w:rsid w:val="00DC0538"/>
    <w:rsid w:val="00DC1FFC"/>
    <w:rsid w:val="00DC5058"/>
    <w:rsid w:val="00DC5DD2"/>
    <w:rsid w:val="00DD25DC"/>
    <w:rsid w:val="00DD6375"/>
    <w:rsid w:val="00DE46CC"/>
    <w:rsid w:val="00DE54B6"/>
    <w:rsid w:val="00DE68EC"/>
    <w:rsid w:val="00DE6C64"/>
    <w:rsid w:val="00DF42CE"/>
    <w:rsid w:val="00DF4758"/>
    <w:rsid w:val="00DF7CA3"/>
    <w:rsid w:val="00E00580"/>
    <w:rsid w:val="00E16FDE"/>
    <w:rsid w:val="00E214A3"/>
    <w:rsid w:val="00E21BD1"/>
    <w:rsid w:val="00E22036"/>
    <w:rsid w:val="00E25223"/>
    <w:rsid w:val="00E265C9"/>
    <w:rsid w:val="00E35883"/>
    <w:rsid w:val="00E37C4C"/>
    <w:rsid w:val="00E422C4"/>
    <w:rsid w:val="00E42DC5"/>
    <w:rsid w:val="00E503BA"/>
    <w:rsid w:val="00E53822"/>
    <w:rsid w:val="00E55018"/>
    <w:rsid w:val="00E65FA0"/>
    <w:rsid w:val="00E67128"/>
    <w:rsid w:val="00E73013"/>
    <w:rsid w:val="00E82ADC"/>
    <w:rsid w:val="00E92E96"/>
    <w:rsid w:val="00E92F11"/>
    <w:rsid w:val="00E95A17"/>
    <w:rsid w:val="00EA0707"/>
    <w:rsid w:val="00EB6B6C"/>
    <w:rsid w:val="00EC1E62"/>
    <w:rsid w:val="00EC720F"/>
    <w:rsid w:val="00EC7C91"/>
    <w:rsid w:val="00ED0593"/>
    <w:rsid w:val="00ED2315"/>
    <w:rsid w:val="00EE1644"/>
    <w:rsid w:val="00EE6895"/>
    <w:rsid w:val="00EE7CE7"/>
    <w:rsid w:val="00EF4EEB"/>
    <w:rsid w:val="00EF7C70"/>
    <w:rsid w:val="00F04E55"/>
    <w:rsid w:val="00F14254"/>
    <w:rsid w:val="00F1517A"/>
    <w:rsid w:val="00F21BE4"/>
    <w:rsid w:val="00F21F94"/>
    <w:rsid w:val="00F2367D"/>
    <w:rsid w:val="00F26971"/>
    <w:rsid w:val="00F279DA"/>
    <w:rsid w:val="00F31C82"/>
    <w:rsid w:val="00F32B72"/>
    <w:rsid w:val="00F357FD"/>
    <w:rsid w:val="00F37C57"/>
    <w:rsid w:val="00F40D07"/>
    <w:rsid w:val="00F42908"/>
    <w:rsid w:val="00F468F8"/>
    <w:rsid w:val="00F478FC"/>
    <w:rsid w:val="00F50D43"/>
    <w:rsid w:val="00F52545"/>
    <w:rsid w:val="00F5374F"/>
    <w:rsid w:val="00F560AC"/>
    <w:rsid w:val="00F65D9E"/>
    <w:rsid w:val="00F72074"/>
    <w:rsid w:val="00F72C8E"/>
    <w:rsid w:val="00F744AF"/>
    <w:rsid w:val="00F756DC"/>
    <w:rsid w:val="00F767F6"/>
    <w:rsid w:val="00F777D7"/>
    <w:rsid w:val="00F77A5B"/>
    <w:rsid w:val="00F85A45"/>
    <w:rsid w:val="00F95F2E"/>
    <w:rsid w:val="00F96DFD"/>
    <w:rsid w:val="00FA156C"/>
    <w:rsid w:val="00FA3DC1"/>
    <w:rsid w:val="00FA4D7A"/>
    <w:rsid w:val="00FB6B6A"/>
    <w:rsid w:val="00FC1861"/>
    <w:rsid w:val="00FC3777"/>
    <w:rsid w:val="00FC3C7F"/>
    <w:rsid w:val="00FC57FC"/>
    <w:rsid w:val="00FC6F02"/>
    <w:rsid w:val="00FD5EF4"/>
    <w:rsid w:val="00FE027A"/>
    <w:rsid w:val="00FE0C71"/>
    <w:rsid w:val="00FE1C8F"/>
    <w:rsid w:val="00FF608D"/>
    <w:rsid w:val="00FF7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BE"/>
  </w:style>
  <w:style w:type="paragraph" w:styleId="Footer">
    <w:name w:val="footer"/>
    <w:basedOn w:val="Normal"/>
    <w:link w:val="FooterChar"/>
    <w:uiPriority w:val="99"/>
    <w:unhideWhenUsed/>
    <w:rsid w:val="0002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BE"/>
  </w:style>
  <w:style w:type="character" w:styleId="Hyperlink">
    <w:name w:val="Hyperlink"/>
    <w:basedOn w:val="DefaultParagraphFont"/>
    <w:uiPriority w:val="99"/>
    <w:unhideWhenUsed/>
    <w:rsid w:val="00A96F7A"/>
    <w:rPr>
      <w:color w:val="0000FF" w:themeColor="hyperlink"/>
      <w:u w:val="single"/>
    </w:rPr>
  </w:style>
  <w:style w:type="paragraph" w:styleId="BalloonText">
    <w:name w:val="Balloon Text"/>
    <w:basedOn w:val="Normal"/>
    <w:link w:val="BalloonTextChar"/>
    <w:uiPriority w:val="99"/>
    <w:semiHidden/>
    <w:unhideWhenUsed/>
    <w:rsid w:val="00AB2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BE"/>
  </w:style>
  <w:style w:type="paragraph" w:styleId="Footer">
    <w:name w:val="footer"/>
    <w:basedOn w:val="Normal"/>
    <w:link w:val="FooterChar"/>
    <w:uiPriority w:val="99"/>
    <w:unhideWhenUsed/>
    <w:rsid w:val="0002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BE"/>
  </w:style>
  <w:style w:type="character" w:styleId="Hyperlink">
    <w:name w:val="Hyperlink"/>
    <w:basedOn w:val="DefaultParagraphFont"/>
    <w:uiPriority w:val="99"/>
    <w:unhideWhenUsed/>
    <w:rsid w:val="00A96F7A"/>
    <w:rPr>
      <w:color w:val="0000FF" w:themeColor="hyperlink"/>
      <w:u w:val="single"/>
    </w:rPr>
  </w:style>
  <w:style w:type="paragraph" w:styleId="BalloonText">
    <w:name w:val="Balloon Text"/>
    <w:basedOn w:val="Normal"/>
    <w:link w:val="BalloonTextChar"/>
    <w:uiPriority w:val="99"/>
    <w:semiHidden/>
    <w:unhideWhenUsed/>
    <w:rsid w:val="00AB2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f-fsr.gc.ca/about-au_sujet/index-fra.aspx" TargetMode="External"/><Relationship Id="rId13" Type="http://schemas.openxmlformats.org/officeDocument/2006/relationships/hyperlink" Target="http://www.rsf-fsr.gc.ca/administer-administrer/expenditures-depenses-fra.aspx"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sf-fsr.gc.ca/administer-administrer/expenditures-depenses-fra.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f-fsr.gc.ca/administer-administrer/expenditures-depenses-fra.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sf-fsr.gc.ca/administer-administrer/expenditures-depenses-fra.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sf-fsr.gc.ca/administer-administrer/expenditures-depenses-fra.aspx"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Allocation des fonds</a:t>
            </a:r>
          </a:p>
        </c:rich>
      </c:tx>
      <c:overlay val="0"/>
      <c:spPr>
        <a:noFill/>
        <a:ln>
          <a:noFill/>
        </a:ln>
        <a:effectLst/>
      </c:spPr>
    </c:title>
    <c:autoTitleDeleted val="0"/>
    <c:plotArea>
      <c:layout/>
      <c:pieChart>
        <c:varyColors val="1"/>
        <c:ser>
          <c:idx val="0"/>
          <c:order val="0"/>
          <c:tx>
            <c:strRef>
              <c:f>Sheet1!$B$1</c:f>
              <c:strCache>
                <c:ptCount val="1"/>
                <c:pt idx="0">
                  <c:v>Fonds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1.3341360026816696E-2"/>
                  <c:y val="9.8494056552326788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40861566653816E-2"/>
                  <c:y val="-2.7749888833061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661672193715314E-3"/>
                  <c:y val="-3.4539932683318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538915340267206E-2"/>
                  <c:y val="6.218200522224006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549625784703244E-2"/>
                  <c:y val="-4.382643006251856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Installations</c:v>
                </c:pt>
                <c:pt idx="1">
                  <c:v>Ressources</c:v>
                </c:pt>
                <c:pt idx="2">
                  <c:v>Gestion et administration</c:v>
                </c:pt>
                <c:pt idx="3">
                  <c:v>Exigences réglementaires et agréments</c:v>
                </c:pt>
                <c:pt idx="4">
                  <c:v>Propriété intellectuelle</c:v>
                </c:pt>
              </c:strCache>
            </c:strRef>
          </c:cat>
          <c:val>
            <c:numRef>
              <c:f>Sheet1!$B$2:$B$6</c:f>
              <c:numCache>
                <c:formatCode>"$"#,##0_);[Red]\("$"#,##0\)</c:formatCode>
                <c:ptCount val="5"/>
                <c:pt idx="0">
                  <c:v>546114</c:v>
                </c:pt>
                <c:pt idx="1">
                  <c:v>400000</c:v>
                </c:pt>
                <c:pt idx="2">
                  <c:v>515000</c:v>
                </c:pt>
                <c:pt idx="3">
                  <c:v>130000</c:v>
                </c:pt>
                <c:pt idx="4">
                  <c:v>30000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81E5-42D9-4FFE-B0B9-98E92036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c:creator>
  <cp:lastModifiedBy>rcraig</cp:lastModifiedBy>
  <cp:revision>2</cp:revision>
  <dcterms:created xsi:type="dcterms:W3CDTF">2016-05-17T17:16:00Z</dcterms:created>
  <dcterms:modified xsi:type="dcterms:W3CDTF">2016-05-17T17:16:00Z</dcterms:modified>
</cp:coreProperties>
</file>