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tblpXSpec="center" w:tblpY="2161"/>
        <w:tblW w:w="0" w:type="auto"/>
        <w:jc w:val="center"/>
        <w:tblCellMar>
          <w:left w:w="115" w:type="dxa"/>
          <w:right w:w="115" w:type="dxa"/>
        </w:tblCellMar>
        <w:tblLook w:val="04A0" w:firstRow="1" w:lastRow="0" w:firstColumn="1" w:lastColumn="0" w:noHBand="0" w:noVBand="1"/>
      </w:tblPr>
      <w:tblGrid>
        <w:gridCol w:w="4428"/>
        <w:gridCol w:w="4428"/>
      </w:tblGrid>
      <w:tr w:rsidR="008412AF" w:rsidRPr="00271B77" w:rsidTr="00704877">
        <w:trPr>
          <w:jc w:val="center"/>
        </w:trPr>
        <w:tc>
          <w:tcPr>
            <w:tcW w:w="4428" w:type="dxa"/>
          </w:tcPr>
          <w:p w:rsidR="008412AF" w:rsidRPr="00271B77" w:rsidRDefault="008412AF" w:rsidP="001D04D3">
            <w:pPr>
              <w:tabs>
                <w:tab w:val="left" w:pos="360"/>
                <w:tab w:val="left" w:pos="720"/>
              </w:tabs>
              <w:jc w:val="center"/>
              <w:rPr>
                <w:b/>
                <w:lang w:val="fr-CA"/>
              </w:rPr>
            </w:pPr>
            <w:bookmarkStart w:id="0" w:name="_GoBack"/>
            <w:bookmarkEnd w:id="0"/>
            <w:r w:rsidRPr="00271B77">
              <w:rPr>
                <w:b/>
                <w:lang w:val="fr-CA"/>
              </w:rPr>
              <w:t>Autorité compétente</w:t>
            </w:r>
          </w:p>
        </w:tc>
        <w:tc>
          <w:tcPr>
            <w:tcW w:w="4428" w:type="dxa"/>
          </w:tcPr>
          <w:p w:rsidR="008412AF" w:rsidRPr="00271B77" w:rsidRDefault="007049EE" w:rsidP="00271B77">
            <w:pPr>
              <w:tabs>
                <w:tab w:val="left" w:pos="360"/>
                <w:tab w:val="left" w:pos="720"/>
              </w:tabs>
              <w:jc w:val="center"/>
              <w:rPr>
                <w:b/>
                <w:lang w:val="fr-CA"/>
              </w:rPr>
            </w:pPr>
            <w:r w:rsidRPr="00271B77">
              <w:rPr>
                <w:b/>
                <w:lang w:val="fr-CA"/>
              </w:rPr>
              <w:t>Vice-rect</w:t>
            </w:r>
            <w:r w:rsidR="00271B77">
              <w:rPr>
                <w:b/>
                <w:lang w:val="fr-CA"/>
              </w:rPr>
              <w:t>orat</w:t>
            </w:r>
            <w:r w:rsidRPr="00271B77">
              <w:rPr>
                <w:b/>
                <w:lang w:val="fr-CA"/>
              </w:rPr>
              <w:t xml:space="preserve"> à la recherche</w:t>
            </w:r>
          </w:p>
        </w:tc>
      </w:tr>
      <w:tr w:rsidR="008412AF" w:rsidRPr="00271B77" w:rsidTr="00704877">
        <w:trPr>
          <w:jc w:val="center"/>
        </w:trPr>
        <w:tc>
          <w:tcPr>
            <w:tcW w:w="4428" w:type="dxa"/>
          </w:tcPr>
          <w:p w:rsidR="008412AF" w:rsidRPr="00271B77" w:rsidRDefault="008412AF" w:rsidP="001D04D3">
            <w:pPr>
              <w:tabs>
                <w:tab w:val="left" w:pos="360"/>
                <w:tab w:val="left" w:pos="720"/>
              </w:tabs>
              <w:jc w:val="center"/>
              <w:rPr>
                <w:b/>
                <w:lang w:val="fr-CA"/>
              </w:rPr>
            </w:pPr>
          </w:p>
        </w:tc>
        <w:tc>
          <w:tcPr>
            <w:tcW w:w="4428" w:type="dxa"/>
          </w:tcPr>
          <w:p w:rsidR="008412AF" w:rsidRPr="00271B77" w:rsidRDefault="008412AF" w:rsidP="001D04D3">
            <w:pPr>
              <w:tabs>
                <w:tab w:val="left" w:pos="360"/>
                <w:tab w:val="left" w:pos="720"/>
              </w:tabs>
              <w:jc w:val="center"/>
              <w:rPr>
                <w:b/>
                <w:lang w:val="fr-CA"/>
              </w:rPr>
            </w:pPr>
            <w:r w:rsidRPr="00271B77">
              <w:rPr>
                <w:b/>
                <w:lang w:val="fr-CA"/>
              </w:rPr>
              <w:t>CERUL (approuvé le 7 novembre 2014)</w:t>
            </w:r>
          </w:p>
        </w:tc>
      </w:tr>
      <w:tr w:rsidR="008412AF" w:rsidRPr="00271B77" w:rsidTr="00704877">
        <w:trPr>
          <w:jc w:val="center"/>
        </w:trPr>
        <w:tc>
          <w:tcPr>
            <w:tcW w:w="4428" w:type="dxa"/>
          </w:tcPr>
          <w:p w:rsidR="008412AF" w:rsidRPr="00271B77" w:rsidRDefault="008412AF" w:rsidP="001D04D3">
            <w:pPr>
              <w:tabs>
                <w:tab w:val="left" w:pos="360"/>
                <w:tab w:val="left" w:pos="720"/>
              </w:tabs>
              <w:jc w:val="center"/>
              <w:rPr>
                <w:b/>
                <w:lang w:val="fr-CA"/>
              </w:rPr>
            </w:pPr>
            <w:r w:rsidRPr="00271B77">
              <w:rPr>
                <w:b/>
                <w:lang w:val="fr-CA"/>
              </w:rPr>
              <w:t>Date d</w:t>
            </w:r>
            <w:r w:rsidR="00C932F2" w:rsidRPr="00271B77">
              <w:rPr>
                <w:b/>
                <w:lang w:val="fr-CA"/>
              </w:rPr>
              <w:t>’</w:t>
            </w:r>
            <w:r w:rsidRPr="00271B77">
              <w:rPr>
                <w:b/>
                <w:lang w:val="fr-CA"/>
              </w:rPr>
              <w:t>entrée en vigueur</w:t>
            </w:r>
          </w:p>
        </w:tc>
        <w:tc>
          <w:tcPr>
            <w:tcW w:w="4428" w:type="dxa"/>
          </w:tcPr>
          <w:p w:rsidR="008412AF" w:rsidRPr="00271B77" w:rsidRDefault="001D04D3" w:rsidP="001D04D3">
            <w:pPr>
              <w:tabs>
                <w:tab w:val="left" w:pos="360"/>
                <w:tab w:val="left" w:pos="720"/>
              </w:tabs>
              <w:jc w:val="center"/>
              <w:rPr>
                <w:b/>
                <w:lang w:val="fr-CA"/>
              </w:rPr>
            </w:pPr>
            <w:r w:rsidRPr="00271B77">
              <w:rPr>
                <w:b/>
                <w:lang w:val="fr-CA"/>
              </w:rPr>
              <w:t>Novembre 2014</w:t>
            </w:r>
          </w:p>
        </w:tc>
      </w:tr>
      <w:tr w:rsidR="008412AF" w:rsidRPr="00271B77" w:rsidTr="00704877">
        <w:trPr>
          <w:jc w:val="center"/>
        </w:trPr>
        <w:tc>
          <w:tcPr>
            <w:tcW w:w="4428" w:type="dxa"/>
          </w:tcPr>
          <w:p w:rsidR="008412AF" w:rsidRPr="00271B77" w:rsidRDefault="008412AF" w:rsidP="001D04D3">
            <w:pPr>
              <w:tabs>
                <w:tab w:val="left" w:pos="360"/>
                <w:tab w:val="left" w:pos="720"/>
              </w:tabs>
              <w:jc w:val="center"/>
              <w:rPr>
                <w:b/>
                <w:lang w:val="fr-CA"/>
              </w:rPr>
            </w:pPr>
            <w:r w:rsidRPr="00271B77">
              <w:rPr>
                <w:b/>
                <w:lang w:val="fr-CA"/>
              </w:rPr>
              <w:t>Prochaine révision</w:t>
            </w:r>
          </w:p>
        </w:tc>
        <w:tc>
          <w:tcPr>
            <w:tcW w:w="4428" w:type="dxa"/>
          </w:tcPr>
          <w:p w:rsidR="008412AF" w:rsidRPr="00271B77" w:rsidRDefault="008412AF" w:rsidP="001D04D3">
            <w:pPr>
              <w:tabs>
                <w:tab w:val="left" w:pos="360"/>
                <w:tab w:val="left" w:pos="720"/>
              </w:tabs>
              <w:jc w:val="center"/>
              <w:rPr>
                <w:b/>
                <w:lang w:val="fr-CA"/>
              </w:rPr>
            </w:pPr>
            <w:r w:rsidRPr="00271B77">
              <w:rPr>
                <w:b/>
                <w:lang w:val="fr-CA"/>
              </w:rPr>
              <w:t>2018 ou lorsque l</w:t>
            </w:r>
            <w:r w:rsidR="00C932F2" w:rsidRPr="00271B77">
              <w:rPr>
                <w:b/>
                <w:lang w:val="fr-CA"/>
              </w:rPr>
              <w:t>’</w:t>
            </w:r>
            <w:r w:rsidRPr="00271B77">
              <w:rPr>
                <w:b/>
                <w:lang w:val="fr-CA"/>
              </w:rPr>
              <w:t>EPTC 2 est révisée</w:t>
            </w:r>
          </w:p>
        </w:tc>
      </w:tr>
    </w:tbl>
    <w:p w:rsidR="008412AF" w:rsidRPr="00271B77" w:rsidRDefault="009C3863" w:rsidP="001D04D3">
      <w:pPr>
        <w:tabs>
          <w:tab w:val="left" w:pos="360"/>
          <w:tab w:val="left" w:pos="720"/>
        </w:tabs>
        <w:rPr>
          <w:lang w:val="fr-CA"/>
        </w:rPr>
      </w:pPr>
      <w:r>
        <w:rPr>
          <w:rFonts w:ascii="Helvetica" w:hAnsi="Helvetica" w:cs="Helvetica"/>
          <w:noProof/>
          <w:lang w:val="en-CA" w:eastAsia="en-CA" w:bidi="ar-SA"/>
        </w:rPr>
        <w:drawing>
          <wp:anchor distT="0" distB="0" distL="114300" distR="114300" simplePos="0" relativeHeight="251658240" behindDoc="0" locked="1" layoutInCell="1" allowOverlap="1">
            <wp:simplePos x="0" y="0"/>
            <wp:positionH relativeFrom="margin">
              <wp:posOffset>1325880</wp:posOffset>
            </wp:positionH>
            <wp:positionV relativeFrom="page">
              <wp:posOffset>304800</wp:posOffset>
            </wp:positionV>
            <wp:extent cx="3251200" cy="913765"/>
            <wp:effectExtent l="0" t="0" r="0"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913765"/>
                    </a:xfrm>
                    <a:prstGeom prst="rect">
                      <a:avLst/>
                    </a:prstGeom>
                    <a:noFill/>
                    <a:ln>
                      <a:noFill/>
                    </a:ln>
                  </pic:spPr>
                </pic:pic>
              </a:graphicData>
            </a:graphic>
          </wp:anchor>
        </w:drawing>
      </w:r>
    </w:p>
    <w:p w:rsidR="007049EE" w:rsidRPr="00271B77" w:rsidRDefault="007049EE" w:rsidP="001D04D3">
      <w:pPr>
        <w:tabs>
          <w:tab w:val="left" w:pos="360"/>
          <w:tab w:val="left" w:pos="720"/>
        </w:tabs>
        <w:rPr>
          <w:lang w:val="fr-CA"/>
        </w:rPr>
      </w:pPr>
    </w:p>
    <w:p w:rsidR="007049EE" w:rsidRPr="00271B77" w:rsidRDefault="007049EE" w:rsidP="001D04D3">
      <w:pPr>
        <w:tabs>
          <w:tab w:val="left" w:pos="360"/>
          <w:tab w:val="left" w:pos="720"/>
        </w:tabs>
        <w:rPr>
          <w:lang w:val="fr-CA"/>
        </w:rPr>
      </w:pPr>
    </w:p>
    <w:p w:rsidR="009C3863" w:rsidRDefault="009C3863" w:rsidP="00E72EDD">
      <w:pPr>
        <w:tabs>
          <w:tab w:val="left" w:pos="540"/>
        </w:tabs>
        <w:ind w:left="1987" w:right="1138" w:hanging="547"/>
        <w:jc w:val="center"/>
        <w:rPr>
          <w:b/>
          <w:sz w:val="28"/>
          <w:lang w:val="fr-CA"/>
        </w:rPr>
      </w:pPr>
    </w:p>
    <w:p w:rsidR="004D63E7" w:rsidRPr="00271B77" w:rsidRDefault="00D66F7D" w:rsidP="00E72EDD">
      <w:pPr>
        <w:tabs>
          <w:tab w:val="left" w:pos="540"/>
        </w:tabs>
        <w:ind w:left="1987" w:right="1138" w:hanging="547"/>
        <w:jc w:val="center"/>
        <w:rPr>
          <w:b/>
          <w:sz w:val="28"/>
          <w:lang w:val="fr-CA"/>
        </w:rPr>
      </w:pPr>
      <w:r w:rsidRPr="00271B77">
        <w:rPr>
          <w:b/>
          <w:sz w:val="28"/>
          <w:lang w:val="fr-CA"/>
        </w:rPr>
        <w:t>POLITIQUE SUR LES INCITATI</w:t>
      </w:r>
      <w:r w:rsidR="00E72EDD" w:rsidRPr="00271B77">
        <w:rPr>
          <w:b/>
          <w:sz w:val="28"/>
          <w:lang w:val="fr-CA"/>
        </w:rPr>
        <w:t xml:space="preserve">FS DE </w:t>
      </w:r>
      <w:r w:rsidRPr="00271B77">
        <w:rPr>
          <w:b/>
          <w:sz w:val="28"/>
          <w:lang w:val="fr-CA"/>
        </w:rPr>
        <w:t>PARTICIPA</w:t>
      </w:r>
      <w:r w:rsidR="00E72EDD" w:rsidRPr="00271B77">
        <w:rPr>
          <w:b/>
          <w:sz w:val="28"/>
          <w:lang w:val="fr-CA"/>
        </w:rPr>
        <w:t xml:space="preserve">TION DES SUJETS HUMAINS À </w:t>
      </w:r>
      <w:r w:rsidR="00C932F2" w:rsidRPr="00271B77">
        <w:rPr>
          <w:b/>
          <w:sz w:val="28"/>
          <w:lang w:val="fr-CA"/>
        </w:rPr>
        <w:t>LA RECHERCHE</w:t>
      </w:r>
    </w:p>
    <w:p w:rsidR="002D0E1C" w:rsidRPr="00271B77" w:rsidRDefault="002D0E1C" w:rsidP="001D04D3">
      <w:pPr>
        <w:tabs>
          <w:tab w:val="left" w:pos="540"/>
        </w:tabs>
        <w:ind w:left="540" w:hanging="540"/>
        <w:rPr>
          <w:lang w:val="fr-CA"/>
        </w:rPr>
      </w:pPr>
    </w:p>
    <w:p w:rsidR="002D0E1C" w:rsidRPr="00271B77" w:rsidRDefault="001D04D3" w:rsidP="001D04D3">
      <w:pPr>
        <w:tabs>
          <w:tab w:val="left" w:pos="540"/>
        </w:tabs>
        <w:ind w:left="540" w:hanging="540"/>
        <w:rPr>
          <w:b/>
          <w:lang w:val="fr-CA"/>
        </w:rPr>
      </w:pPr>
      <w:r w:rsidRPr="00271B77">
        <w:rPr>
          <w:b/>
          <w:lang w:val="fr-CA"/>
        </w:rPr>
        <w:t>1.</w:t>
      </w:r>
      <w:r w:rsidRPr="00271B77">
        <w:rPr>
          <w:lang w:val="fr-CA"/>
        </w:rPr>
        <w:tab/>
      </w:r>
      <w:r w:rsidRPr="00271B77">
        <w:rPr>
          <w:b/>
          <w:lang w:val="fr-CA"/>
        </w:rPr>
        <w:t>OBJET</w:t>
      </w:r>
    </w:p>
    <w:p w:rsidR="00704877" w:rsidRPr="00271B77" w:rsidRDefault="00704877" w:rsidP="001D04D3">
      <w:pPr>
        <w:tabs>
          <w:tab w:val="left" w:pos="540"/>
        </w:tabs>
        <w:ind w:left="540" w:hanging="540"/>
        <w:rPr>
          <w:lang w:val="fr-CA"/>
        </w:rPr>
      </w:pPr>
    </w:p>
    <w:p w:rsidR="002D0E1C" w:rsidRPr="00271B77" w:rsidRDefault="001D04D3" w:rsidP="001D04D3">
      <w:pPr>
        <w:tabs>
          <w:tab w:val="left" w:pos="540"/>
        </w:tabs>
        <w:ind w:left="540" w:hanging="540"/>
        <w:rPr>
          <w:lang w:val="fr-CA"/>
        </w:rPr>
      </w:pPr>
      <w:r w:rsidRPr="00271B77">
        <w:rPr>
          <w:lang w:val="fr-CA"/>
        </w:rPr>
        <w:tab/>
        <w:t>L</w:t>
      </w:r>
      <w:r w:rsidR="00C932F2" w:rsidRPr="00271B77">
        <w:rPr>
          <w:lang w:val="fr-CA"/>
        </w:rPr>
        <w:t>’</w:t>
      </w:r>
      <w:r w:rsidRPr="00271B77">
        <w:rPr>
          <w:lang w:val="fr-CA"/>
        </w:rPr>
        <w:t>objet de cette politique est de clarifier ce qu</w:t>
      </w:r>
      <w:r w:rsidR="00C932F2" w:rsidRPr="00271B77">
        <w:rPr>
          <w:lang w:val="fr-CA"/>
        </w:rPr>
        <w:t>’</w:t>
      </w:r>
      <w:r w:rsidRPr="00271B77">
        <w:rPr>
          <w:lang w:val="fr-CA"/>
        </w:rPr>
        <w:t>est l</w:t>
      </w:r>
      <w:r w:rsidR="003D7819" w:rsidRPr="00271B77">
        <w:rPr>
          <w:lang w:val="fr-CA"/>
        </w:rPr>
        <w:t xml:space="preserve">e recours </w:t>
      </w:r>
      <w:r w:rsidRPr="00271B77">
        <w:rPr>
          <w:lang w:val="fr-CA"/>
        </w:rPr>
        <w:t xml:space="preserve">éthique </w:t>
      </w:r>
      <w:r w:rsidR="003D7819" w:rsidRPr="00271B77">
        <w:rPr>
          <w:lang w:val="fr-CA"/>
        </w:rPr>
        <w:t xml:space="preserve">aux </w:t>
      </w:r>
      <w:r w:rsidRPr="00271B77">
        <w:rPr>
          <w:lang w:val="fr-CA"/>
        </w:rPr>
        <w:t>incitations versées aux participants humains à la recherche, tout en assurant l</w:t>
      </w:r>
      <w:r w:rsidR="00C932F2" w:rsidRPr="00271B77">
        <w:rPr>
          <w:lang w:val="fr-CA"/>
        </w:rPr>
        <w:t>’</w:t>
      </w:r>
      <w:r w:rsidRPr="00271B77">
        <w:rPr>
          <w:lang w:val="fr-CA"/>
        </w:rPr>
        <w:t xml:space="preserve">obligation de rendre compte des fonds de recherche </w:t>
      </w:r>
      <w:r w:rsidR="003D7819" w:rsidRPr="00271B77">
        <w:rPr>
          <w:lang w:val="fr-CA"/>
        </w:rPr>
        <w:t xml:space="preserve">accordés par les </w:t>
      </w:r>
      <w:r w:rsidRPr="00271B77">
        <w:rPr>
          <w:lang w:val="fr-CA"/>
        </w:rPr>
        <w:t>organismes de financement des trois Conseils.</w:t>
      </w:r>
    </w:p>
    <w:p w:rsidR="002D0E1C" w:rsidRPr="00271B77" w:rsidRDefault="002D0E1C" w:rsidP="001D04D3">
      <w:pPr>
        <w:tabs>
          <w:tab w:val="left" w:pos="540"/>
        </w:tabs>
        <w:ind w:left="540" w:hanging="540"/>
        <w:rPr>
          <w:lang w:val="fr-CA"/>
        </w:rPr>
      </w:pPr>
    </w:p>
    <w:p w:rsidR="002D0E1C" w:rsidRPr="00271B77" w:rsidRDefault="001D04D3" w:rsidP="001D04D3">
      <w:pPr>
        <w:tabs>
          <w:tab w:val="left" w:pos="540"/>
        </w:tabs>
        <w:ind w:left="540" w:hanging="540"/>
        <w:rPr>
          <w:b/>
          <w:lang w:val="fr-CA"/>
        </w:rPr>
      </w:pPr>
      <w:r w:rsidRPr="00271B77">
        <w:rPr>
          <w:b/>
          <w:lang w:val="fr-CA"/>
        </w:rPr>
        <w:t>2.</w:t>
      </w:r>
      <w:r w:rsidRPr="00271B77">
        <w:rPr>
          <w:lang w:val="fr-CA"/>
        </w:rPr>
        <w:tab/>
      </w:r>
      <w:r w:rsidRPr="00271B77">
        <w:rPr>
          <w:b/>
          <w:lang w:val="fr-CA"/>
        </w:rPr>
        <w:t>PORTÉE</w:t>
      </w:r>
    </w:p>
    <w:p w:rsidR="00704877" w:rsidRPr="00271B77" w:rsidRDefault="00704877" w:rsidP="001D04D3">
      <w:pPr>
        <w:tabs>
          <w:tab w:val="left" w:pos="540"/>
        </w:tabs>
        <w:ind w:left="540" w:hanging="540"/>
        <w:rPr>
          <w:lang w:val="fr-CA"/>
        </w:rPr>
      </w:pPr>
    </w:p>
    <w:p w:rsidR="002D0E1C" w:rsidRPr="00271B77" w:rsidRDefault="001D04D3" w:rsidP="001D04D3">
      <w:pPr>
        <w:tabs>
          <w:tab w:val="left" w:pos="540"/>
        </w:tabs>
        <w:ind w:left="540" w:hanging="540"/>
        <w:rPr>
          <w:lang w:val="fr-CA"/>
        </w:rPr>
      </w:pPr>
      <w:r w:rsidRPr="00271B77">
        <w:rPr>
          <w:lang w:val="fr-CA"/>
        </w:rPr>
        <w:tab/>
      </w:r>
      <w:r w:rsidR="00271B77">
        <w:rPr>
          <w:lang w:val="fr-CA"/>
        </w:rPr>
        <w:t>Cette</w:t>
      </w:r>
      <w:r w:rsidRPr="00271B77">
        <w:rPr>
          <w:lang w:val="fr-CA"/>
        </w:rPr>
        <w:t xml:space="preserve"> politique s</w:t>
      </w:r>
      <w:r w:rsidR="00C932F2" w:rsidRPr="00271B77">
        <w:rPr>
          <w:lang w:val="fr-CA"/>
        </w:rPr>
        <w:t>’</w:t>
      </w:r>
      <w:r w:rsidRPr="00271B77">
        <w:rPr>
          <w:lang w:val="fr-CA"/>
        </w:rPr>
        <w:t xml:space="preserve">applique à tous les fonds de recherche </w:t>
      </w:r>
      <w:r w:rsidR="00271B77">
        <w:rPr>
          <w:lang w:val="fr-CA"/>
        </w:rPr>
        <w:t>compren</w:t>
      </w:r>
      <w:r w:rsidRPr="00271B77">
        <w:rPr>
          <w:lang w:val="fr-CA"/>
        </w:rPr>
        <w:t>ant des participants humains dans les cas où un projet de recherche financé a prévu au budget des incitati</w:t>
      </w:r>
      <w:r w:rsidR="00271B77">
        <w:rPr>
          <w:lang w:val="fr-CA"/>
        </w:rPr>
        <w:t>ons</w:t>
      </w:r>
      <w:r w:rsidRPr="00271B77">
        <w:rPr>
          <w:lang w:val="fr-CA"/>
        </w:rPr>
        <w:t xml:space="preserve"> de recrutement des participants à la recherche.</w:t>
      </w:r>
    </w:p>
    <w:p w:rsidR="002D0E1C" w:rsidRPr="00271B77" w:rsidRDefault="002D0E1C" w:rsidP="001D04D3">
      <w:pPr>
        <w:tabs>
          <w:tab w:val="left" w:pos="540"/>
        </w:tabs>
        <w:ind w:left="540" w:hanging="540"/>
        <w:rPr>
          <w:lang w:val="fr-CA"/>
        </w:rPr>
      </w:pPr>
    </w:p>
    <w:p w:rsidR="002D0E1C" w:rsidRPr="00271B77" w:rsidRDefault="001D04D3" w:rsidP="001D04D3">
      <w:pPr>
        <w:tabs>
          <w:tab w:val="left" w:pos="540"/>
        </w:tabs>
        <w:ind w:left="540" w:hanging="540"/>
        <w:rPr>
          <w:b/>
          <w:lang w:val="fr-CA"/>
        </w:rPr>
      </w:pPr>
      <w:r w:rsidRPr="00271B77">
        <w:rPr>
          <w:b/>
          <w:lang w:val="fr-CA"/>
        </w:rPr>
        <w:t>3.</w:t>
      </w:r>
      <w:r w:rsidRPr="00271B77">
        <w:rPr>
          <w:lang w:val="fr-CA"/>
        </w:rPr>
        <w:tab/>
      </w:r>
      <w:r w:rsidRPr="00271B77">
        <w:rPr>
          <w:b/>
          <w:lang w:val="fr-CA"/>
        </w:rPr>
        <w:t>DÉFINITIONS</w:t>
      </w:r>
    </w:p>
    <w:p w:rsidR="00704877" w:rsidRPr="00271B77" w:rsidRDefault="00704877" w:rsidP="001D04D3">
      <w:pPr>
        <w:tabs>
          <w:tab w:val="left" w:pos="540"/>
        </w:tabs>
        <w:ind w:left="540" w:hanging="540"/>
        <w:rPr>
          <w:lang w:val="fr-CA"/>
        </w:rPr>
      </w:pPr>
    </w:p>
    <w:p w:rsidR="007801B9" w:rsidRPr="00271B77" w:rsidRDefault="001D04D3" w:rsidP="001D04D3">
      <w:pPr>
        <w:tabs>
          <w:tab w:val="left" w:pos="540"/>
        </w:tabs>
        <w:ind w:left="540" w:hanging="540"/>
        <w:rPr>
          <w:lang w:val="fr-CA"/>
        </w:rPr>
      </w:pPr>
      <w:r w:rsidRPr="00271B77">
        <w:rPr>
          <w:lang w:val="fr-CA"/>
        </w:rPr>
        <w:tab/>
      </w:r>
      <w:r w:rsidRPr="00271B77">
        <w:rPr>
          <w:b/>
          <w:lang w:val="fr-CA"/>
        </w:rPr>
        <w:t>Confidentialité</w:t>
      </w:r>
      <w:r w:rsidR="00271B77">
        <w:rPr>
          <w:b/>
          <w:lang w:val="fr-CA"/>
        </w:rPr>
        <w:t>.</w:t>
      </w:r>
      <w:r w:rsidRPr="00271B77">
        <w:rPr>
          <w:lang w:val="fr-CA"/>
        </w:rPr>
        <w:t xml:space="preserve"> « Le devoir éthique de confidentialité renvoie à l</w:t>
      </w:r>
      <w:r w:rsidR="00C932F2" w:rsidRPr="00271B77">
        <w:rPr>
          <w:lang w:val="fr-CA"/>
        </w:rPr>
        <w:t>’</w:t>
      </w:r>
      <w:r w:rsidRPr="00271B77">
        <w:rPr>
          <w:lang w:val="fr-CA"/>
        </w:rPr>
        <w:t>obligation qu</w:t>
      </w:r>
      <w:r w:rsidR="00C932F2" w:rsidRPr="00271B77">
        <w:rPr>
          <w:lang w:val="fr-CA"/>
        </w:rPr>
        <w:t>’</w:t>
      </w:r>
      <w:r w:rsidRPr="00271B77">
        <w:rPr>
          <w:lang w:val="fr-CA"/>
        </w:rPr>
        <w:t>ont les personnes ou les organismes de protéger l</w:t>
      </w:r>
      <w:r w:rsidR="00C932F2" w:rsidRPr="00271B77">
        <w:rPr>
          <w:lang w:val="fr-CA"/>
        </w:rPr>
        <w:t>’</w:t>
      </w:r>
      <w:r w:rsidRPr="00271B77">
        <w:rPr>
          <w:lang w:val="fr-CA"/>
        </w:rPr>
        <w:t>information qui leur est confiée. Ce devoir comporte l</w:t>
      </w:r>
      <w:r w:rsidR="00C932F2" w:rsidRPr="00271B77">
        <w:rPr>
          <w:lang w:val="fr-CA"/>
        </w:rPr>
        <w:t>’</w:t>
      </w:r>
      <w:r w:rsidRPr="00271B77">
        <w:rPr>
          <w:lang w:val="fr-CA"/>
        </w:rPr>
        <w:t>obligation de protéger l</w:t>
      </w:r>
      <w:r w:rsidR="00C932F2" w:rsidRPr="00271B77">
        <w:rPr>
          <w:lang w:val="fr-CA"/>
        </w:rPr>
        <w:t>’</w:t>
      </w:r>
      <w:r w:rsidRPr="00271B77">
        <w:rPr>
          <w:lang w:val="fr-CA"/>
        </w:rPr>
        <w:t>information contre l</w:t>
      </w:r>
      <w:r w:rsidR="00C932F2" w:rsidRPr="00271B77">
        <w:rPr>
          <w:lang w:val="fr-CA"/>
        </w:rPr>
        <w:t>’</w:t>
      </w:r>
      <w:r w:rsidRPr="00271B77">
        <w:rPr>
          <w:lang w:val="fr-CA"/>
        </w:rPr>
        <w:t>accès, l</w:t>
      </w:r>
      <w:r w:rsidR="00C932F2" w:rsidRPr="00271B77">
        <w:rPr>
          <w:lang w:val="fr-CA"/>
        </w:rPr>
        <w:t>’</w:t>
      </w:r>
      <w:r w:rsidRPr="00271B77">
        <w:rPr>
          <w:lang w:val="fr-CA"/>
        </w:rPr>
        <w:t>utilisation, la divulgation et la modification non autorisés, d</w:t>
      </w:r>
      <w:r w:rsidR="00C932F2" w:rsidRPr="00271B77">
        <w:rPr>
          <w:lang w:val="fr-CA"/>
        </w:rPr>
        <w:t>’</w:t>
      </w:r>
      <w:r w:rsidRPr="00271B77">
        <w:rPr>
          <w:lang w:val="fr-CA"/>
        </w:rPr>
        <w:t>une part, et contre la perte et le vol, d</w:t>
      </w:r>
      <w:r w:rsidR="00C932F2" w:rsidRPr="00271B77">
        <w:rPr>
          <w:lang w:val="fr-CA"/>
        </w:rPr>
        <w:t>’</w:t>
      </w:r>
      <w:r w:rsidRPr="00271B77">
        <w:rPr>
          <w:lang w:val="fr-CA"/>
        </w:rPr>
        <w:t>autre part. Il est essentiel de s</w:t>
      </w:r>
      <w:r w:rsidR="00C932F2" w:rsidRPr="00271B77">
        <w:rPr>
          <w:lang w:val="fr-CA"/>
        </w:rPr>
        <w:t>’</w:t>
      </w:r>
      <w:r w:rsidRPr="00271B77">
        <w:rPr>
          <w:lang w:val="fr-CA"/>
        </w:rPr>
        <w:t>acquitter de ce devoir éthique de confidentialité pour maintenir tant le lien de confiance entre le chercheur et le participant que l</w:t>
      </w:r>
      <w:r w:rsidR="00C932F2" w:rsidRPr="00271B77">
        <w:rPr>
          <w:lang w:val="fr-CA"/>
        </w:rPr>
        <w:t>’</w:t>
      </w:r>
      <w:r w:rsidRPr="00271B77">
        <w:rPr>
          <w:lang w:val="fr-CA"/>
        </w:rPr>
        <w:t>intégrité du projet de recherche. » (Éthique de la recherche avec de</w:t>
      </w:r>
      <w:r w:rsidR="00271B77">
        <w:rPr>
          <w:lang w:val="fr-CA"/>
        </w:rPr>
        <w:t>s sujets humains, EPTC 2</w:t>
      </w:r>
      <w:r w:rsidR="000B37B0">
        <w:rPr>
          <w:lang w:val="fr-CA"/>
        </w:rPr>
        <w:t xml:space="preserve">, </w:t>
      </w:r>
      <w:r w:rsidR="00271B77">
        <w:rPr>
          <w:lang w:val="fr-CA"/>
        </w:rPr>
        <w:t>2010).</w:t>
      </w:r>
    </w:p>
    <w:p w:rsidR="003F321A" w:rsidRPr="00271B77" w:rsidRDefault="003F321A" w:rsidP="001D04D3">
      <w:pPr>
        <w:tabs>
          <w:tab w:val="left" w:pos="540"/>
        </w:tabs>
        <w:ind w:left="540" w:hanging="540"/>
        <w:rPr>
          <w:lang w:val="fr-CA"/>
        </w:rPr>
      </w:pPr>
    </w:p>
    <w:p w:rsidR="00397759" w:rsidRPr="00271B77" w:rsidRDefault="001D04D3" w:rsidP="001D04D3">
      <w:pPr>
        <w:tabs>
          <w:tab w:val="left" w:pos="540"/>
        </w:tabs>
        <w:ind w:left="540" w:hanging="540"/>
        <w:rPr>
          <w:lang w:val="fr-CA"/>
        </w:rPr>
      </w:pPr>
      <w:r w:rsidRPr="00271B77">
        <w:rPr>
          <w:lang w:val="fr-CA"/>
        </w:rPr>
        <w:tab/>
      </w:r>
      <w:r w:rsidRPr="00271B77">
        <w:rPr>
          <w:b/>
          <w:lang w:val="fr-CA"/>
        </w:rPr>
        <w:t>Rémunération</w:t>
      </w:r>
      <w:r w:rsidR="00271B77">
        <w:rPr>
          <w:b/>
          <w:lang w:val="fr-CA"/>
        </w:rPr>
        <w:t>.</w:t>
      </w:r>
      <w:r w:rsidRPr="00271B77">
        <w:rPr>
          <w:lang w:val="fr-CA"/>
        </w:rPr>
        <w:t xml:space="preserve"> </w:t>
      </w:r>
      <w:r w:rsidR="00271B77">
        <w:rPr>
          <w:lang w:val="fr-CA"/>
        </w:rPr>
        <w:t>L</w:t>
      </w:r>
      <w:r w:rsidRPr="00271B77">
        <w:rPr>
          <w:lang w:val="fr-CA"/>
        </w:rPr>
        <w:t>a rémunération s</w:t>
      </w:r>
      <w:r w:rsidR="00C932F2" w:rsidRPr="00271B77">
        <w:rPr>
          <w:lang w:val="fr-CA"/>
        </w:rPr>
        <w:t>’</w:t>
      </w:r>
      <w:r w:rsidRPr="00271B77">
        <w:rPr>
          <w:lang w:val="fr-CA"/>
        </w:rPr>
        <w:t>entend des honoraires ou de toute autre forme d</w:t>
      </w:r>
      <w:r w:rsidR="00C932F2" w:rsidRPr="00271B77">
        <w:rPr>
          <w:lang w:val="fr-CA"/>
        </w:rPr>
        <w:t>’</w:t>
      </w:r>
      <w:r w:rsidRPr="00271B77">
        <w:rPr>
          <w:lang w:val="fr-CA"/>
        </w:rPr>
        <w:t>incitation ou de paiements</w:t>
      </w:r>
      <w:r w:rsidR="00271B77">
        <w:rPr>
          <w:lang w:val="fr-CA"/>
        </w:rPr>
        <w:t xml:space="preserve"> de 500 $ ou plus par an.</w:t>
      </w:r>
    </w:p>
    <w:p w:rsidR="00397759" w:rsidRPr="00271B77" w:rsidRDefault="00397759" w:rsidP="001D04D3">
      <w:pPr>
        <w:tabs>
          <w:tab w:val="left" w:pos="540"/>
        </w:tabs>
        <w:ind w:left="540" w:hanging="540"/>
        <w:rPr>
          <w:lang w:val="fr-CA"/>
        </w:rPr>
      </w:pPr>
    </w:p>
    <w:p w:rsidR="007801B9" w:rsidRPr="00271B77" w:rsidRDefault="001D04D3" w:rsidP="001D04D3">
      <w:pPr>
        <w:tabs>
          <w:tab w:val="left" w:pos="540"/>
        </w:tabs>
        <w:ind w:left="540" w:hanging="540"/>
        <w:rPr>
          <w:lang w:val="fr-CA"/>
        </w:rPr>
      </w:pPr>
      <w:r w:rsidRPr="00271B77">
        <w:rPr>
          <w:lang w:val="fr-CA"/>
        </w:rPr>
        <w:tab/>
      </w:r>
      <w:r w:rsidRPr="00271B77">
        <w:rPr>
          <w:b/>
          <w:lang w:val="fr-CA"/>
        </w:rPr>
        <w:t>Devoirs éthiques</w:t>
      </w:r>
      <w:r w:rsidR="00271B77">
        <w:rPr>
          <w:b/>
          <w:lang w:val="fr-CA"/>
        </w:rPr>
        <w:t>.</w:t>
      </w:r>
      <w:r w:rsidRPr="00271B77">
        <w:rPr>
          <w:lang w:val="fr-CA"/>
        </w:rPr>
        <w:t xml:space="preserve"> </w:t>
      </w:r>
      <w:r w:rsidR="00271B77">
        <w:rPr>
          <w:lang w:val="fr-CA"/>
        </w:rPr>
        <w:t>L</w:t>
      </w:r>
      <w:r w:rsidRPr="00271B77">
        <w:rPr>
          <w:lang w:val="fr-CA"/>
        </w:rPr>
        <w:t>es devoirs éthiques s</w:t>
      </w:r>
      <w:r w:rsidR="00C932F2" w:rsidRPr="00271B77">
        <w:rPr>
          <w:lang w:val="fr-CA"/>
        </w:rPr>
        <w:t>’</w:t>
      </w:r>
      <w:r w:rsidRPr="00271B77">
        <w:rPr>
          <w:lang w:val="fr-CA"/>
        </w:rPr>
        <w:t>entendent des normes d</w:t>
      </w:r>
      <w:r w:rsidR="00C932F2" w:rsidRPr="00271B77">
        <w:rPr>
          <w:lang w:val="fr-CA"/>
        </w:rPr>
        <w:t>’</w:t>
      </w:r>
      <w:r w:rsidRPr="00271B77">
        <w:rPr>
          <w:lang w:val="fr-CA"/>
        </w:rPr>
        <w:t>éthique nationales et internationales qui exigent que les chercheurs et leurs établissements répond</w:t>
      </w:r>
      <w:r w:rsidR="00D35308" w:rsidRPr="00271B77">
        <w:rPr>
          <w:lang w:val="fr-CA"/>
        </w:rPr>
        <w:t xml:space="preserve">ent </w:t>
      </w:r>
      <w:r w:rsidRPr="00271B77">
        <w:rPr>
          <w:lang w:val="fr-CA"/>
        </w:rPr>
        <w:t>aux protocoles de recherche bien établis destinés à protéger la sécurité des sujets humains, y compris la protection des renseignements personnels et surtout les informations identifi</w:t>
      </w:r>
      <w:r w:rsidR="00D35308" w:rsidRPr="00271B77">
        <w:rPr>
          <w:lang w:val="fr-CA"/>
        </w:rPr>
        <w:t>catoires d</w:t>
      </w:r>
      <w:r w:rsidRPr="00271B77">
        <w:rPr>
          <w:lang w:val="fr-CA"/>
        </w:rPr>
        <w:t>es participants à la recherche. C</w:t>
      </w:r>
      <w:r w:rsidR="00C932F2" w:rsidRPr="00271B77">
        <w:rPr>
          <w:lang w:val="fr-CA"/>
        </w:rPr>
        <w:t>’</w:t>
      </w:r>
      <w:r w:rsidRPr="00271B77">
        <w:rPr>
          <w:lang w:val="fr-CA"/>
        </w:rPr>
        <w:t xml:space="preserve">est un devoir éthique </w:t>
      </w:r>
      <w:r w:rsidRPr="00271B77">
        <w:rPr>
          <w:lang w:val="fr-CA"/>
        </w:rPr>
        <w:lastRenderedPageBreak/>
        <w:t>que les chercheurs ne divulguent pas les renseignements personnels recueillis auprès des sujets humains. « Les chercheurs doivent protéger les renseignements qui leur sont confiés et éviter de les utiliser ou de les divulguer à tort. Les établissements doivent aider les chercheurs à tenir leurs engagement</w:t>
      </w:r>
      <w:r w:rsidR="00271B77">
        <w:rPr>
          <w:lang w:val="fr-CA"/>
        </w:rPr>
        <w:t>s de confidentialité. » (Ibid.)</w:t>
      </w:r>
    </w:p>
    <w:p w:rsidR="00D66F7D" w:rsidRPr="00271B77" w:rsidRDefault="00D66F7D" w:rsidP="001D04D3">
      <w:pPr>
        <w:tabs>
          <w:tab w:val="left" w:pos="540"/>
        </w:tabs>
        <w:ind w:left="540" w:hanging="540"/>
        <w:rPr>
          <w:lang w:val="fr-CA"/>
        </w:rPr>
      </w:pPr>
    </w:p>
    <w:p w:rsidR="00D66F7D" w:rsidRPr="00271B77" w:rsidRDefault="001D04D3" w:rsidP="001D04D3">
      <w:pPr>
        <w:tabs>
          <w:tab w:val="left" w:pos="540"/>
        </w:tabs>
        <w:ind w:left="540" w:hanging="540"/>
        <w:rPr>
          <w:lang w:val="fr-CA"/>
        </w:rPr>
      </w:pPr>
      <w:r w:rsidRPr="00271B77">
        <w:rPr>
          <w:lang w:val="fr-CA"/>
        </w:rPr>
        <w:tab/>
      </w:r>
      <w:r w:rsidRPr="00271B77">
        <w:rPr>
          <w:b/>
          <w:lang w:val="fr-CA"/>
        </w:rPr>
        <w:t>Incitations à la recherche</w:t>
      </w:r>
      <w:r w:rsidR="00271B77">
        <w:rPr>
          <w:b/>
          <w:lang w:val="fr-CA"/>
        </w:rPr>
        <w:t>.</w:t>
      </w:r>
      <w:r w:rsidRPr="00271B77">
        <w:rPr>
          <w:lang w:val="fr-CA"/>
        </w:rPr>
        <w:t xml:space="preserve"> « On entend par incitation toute offre faite au participant, qu</w:t>
      </w:r>
      <w:r w:rsidR="00C932F2" w:rsidRPr="00271B77">
        <w:rPr>
          <w:lang w:val="fr-CA"/>
        </w:rPr>
        <w:t>’</w:t>
      </w:r>
      <w:r w:rsidRPr="00271B77">
        <w:rPr>
          <w:lang w:val="fr-CA"/>
        </w:rPr>
        <w:t xml:space="preserve">elle soit de nature pécuniaire ou autre, en échange de sa participation à la recherche (les incitations sont différentes des remboursements). </w:t>
      </w:r>
      <w:r w:rsidRPr="00DD7730">
        <w:rPr>
          <w:vertAlign w:val="superscript"/>
          <w:lang w:val="fr-CA"/>
        </w:rPr>
        <w:footnoteReference w:id="1"/>
      </w:r>
      <w:r w:rsidRPr="00271B77">
        <w:rPr>
          <w:lang w:val="fr-CA"/>
        </w:rPr>
        <w:t xml:space="preserve"> Les incitations sont par exemples les dons, les prix, les traitements ou notes ou les c</w:t>
      </w:r>
      <w:r w:rsidR="000B37B0">
        <w:rPr>
          <w:lang w:val="fr-CA"/>
        </w:rPr>
        <w:t>hèques</w:t>
      </w:r>
      <w:r w:rsidRPr="00271B77">
        <w:rPr>
          <w:lang w:val="fr-CA"/>
        </w:rPr>
        <w:t>-cadeaux accordés aux participants pour les remercier de leur contribution à un projet de recherche.</w:t>
      </w:r>
    </w:p>
    <w:p w:rsidR="00AE2FAC" w:rsidRPr="00271B77" w:rsidRDefault="00AE2FAC" w:rsidP="001D04D3">
      <w:pPr>
        <w:tabs>
          <w:tab w:val="left" w:pos="540"/>
        </w:tabs>
        <w:ind w:left="540" w:hanging="540"/>
        <w:rPr>
          <w:lang w:val="fr-CA"/>
        </w:rPr>
      </w:pPr>
    </w:p>
    <w:p w:rsidR="00D66F7D" w:rsidRPr="00271B77" w:rsidRDefault="001D04D3" w:rsidP="001D04D3">
      <w:pPr>
        <w:tabs>
          <w:tab w:val="left" w:pos="540"/>
        </w:tabs>
        <w:ind w:left="540" w:hanging="540"/>
        <w:rPr>
          <w:lang w:val="fr-CA"/>
        </w:rPr>
      </w:pPr>
      <w:r w:rsidRPr="00271B77">
        <w:rPr>
          <w:lang w:val="fr-CA"/>
        </w:rPr>
        <w:tab/>
      </w:r>
      <w:r w:rsidRPr="00271B77">
        <w:rPr>
          <w:b/>
          <w:lang w:val="fr-CA"/>
        </w:rPr>
        <w:t>Participants à la recherche</w:t>
      </w:r>
      <w:r w:rsidR="00271B77">
        <w:rPr>
          <w:b/>
          <w:lang w:val="fr-CA"/>
        </w:rPr>
        <w:t>.</w:t>
      </w:r>
      <w:r w:rsidRPr="00271B77">
        <w:rPr>
          <w:lang w:val="fr-CA"/>
        </w:rPr>
        <w:t xml:space="preserve"> </w:t>
      </w:r>
      <w:r w:rsidR="00271B77">
        <w:rPr>
          <w:lang w:val="fr-CA"/>
        </w:rPr>
        <w:t>C</w:t>
      </w:r>
      <w:r w:rsidRPr="00271B77">
        <w:rPr>
          <w:lang w:val="fr-CA"/>
        </w:rPr>
        <w:t>e sont les personnes qui ont accepté d</w:t>
      </w:r>
      <w:r w:rsidR="00C932F2" w:rsidRPr="00271B77">
        <w:rPr>
          <w:lang w:val="fr-CA"/>
        </w:rPr>
        <w:t>’</w:t>
      </w:r>
      <w:r w:rsidRPr="00271B77">
        <w:rPr>
          <w:lang w:val="fr-CA"/>
        </w:rPr>
        <w:t>être des sujets d</w:t>
      </w:r>
      <w:r w:rsidR="00C932F2" w:rsidRPr="00271B77">
        <w:rPr>
          <w:lang w:val="fr-CA"/>
        </w:rPr>
        <w:t>’</w:t>
      </w:r>
      <w:r w:rsidRPr="00271B77">
        <w:rPr>
          <w:lang w:val="fr-CA"/>
        </w:rPr>
        <w:t>étude dans le cadre d</w:t>
      </w:r>
      <w:r w:rsidR="00C932F2" w:rsidRPr="00271B77">
        <w:rPr>
          <w:lang w:val="fr-CA"/>
        </w:rPr>
        <w:t>’</w:t>
      </w:r>
      <w:r w:rsidRPr="00271B77">
        <w:rPr>
          <w:lang w:val="fr-CA"/>
        </w:rPr>
        <w:t>un projet de recherche financé par les organismes des trois Conseils, par l</w:t>
      </w:r>
      <w:r w:rsidR="00C932F2" w:rsidRPr="00271B77">
        <w:rPr>
          <w:lang w:val="fr-CA"/>
        </w:rPr>
        <w:t>’</w:t>
      </w:r>
      <w:r w:rsidRPr="00271B77">
        <w:rPr>
          <w:lang w:val="fr-CA"/>
        </w:rPr>
        <w:t>intermédiaire du Conseil de recherches en sciences sociales et humaines (CRSH), des Instituts de recherche en santé du Canada (IRSC) ou le Conseil de recherches en sciences naturelles et en génie (CRSNG), ou encore de tout autre projet de recherche universitaire.</w:t>
      </w:r>
    </w:p>
    <w:p w:rsidR="001D04D3" w:rsidRPr="00271B77" w:rsidRDefault="001D04D3" w:rsidP="001D04D3">
      <w:pPr>
        <w:tabs>
          <w:tab w:val="left" w:pos="540"/>
        </w:tabs>
        <w:ind w:left="540" w:hanging="540"/>
        <w:rPr>
          <w:lang w:val="fr-CA"/>
        </w:rPr>
      </w:pPr>
    </w:p>
    <w:p w:rsidR="00704877" w:rsidRPr="00271B77" w:rsidRDefault="001D04D3" w:rsidP="001D04D3">
      <w:pPr>
        <w:tabs>
          <w:tab w:val="left" w:pos="540"/>
        </w:tabs>
        <w:ind w:left="540" w:hanging="540"/>
        <w:rPr>
          <w:b/>
          <w:lang w:val="fr-CA"/>
        </w:rPr>
      </w:pPr>
      <w:r w:rsidRPr="00271B77">
        <w:rPr>
          <w:b/>
          <w:lang w:val="fr-CA"/>
        </w:rPr>
        <w:t>4.</w:t>
      </w:r>
      <w:r w:rsidRPr="00271B77">
        <w:rPr>
          <w:lang w:val="fr-CA"/>
        </w:rPr>
        <w:tab/>
      </w:r>
      <w:r w:rsidRPr="00271B77">
        <w:rPr>
          <w:b/>
          <w:lang w:val="fr-CA"/>
        </w:rPr>
        <w:t>POLITIQUE</w:t>
      </w:r>
    </w:p>
    <w:p w:rsidR="00704877" w:rsidRPr="00271B77" w:rsidRDefault="00704877" w:rsidP="001D04D3">
      <w:pPr>
        <w:tabs>
          <w:tab w:val="left" w:pos="540"/>
        </w:tabs>
        <w:ind w:left="540" w:hanging="540"/>
        <w:rPr>
          <w:lang w:val="fr-CA"/>
        </w:rPr>
      </w:pPr>
    </w:p>
    <w:p w:rsidR="00511783" w:rsidRPr="00271B77" w:rsidRDefault="001D04D3" w:rsidP="001D04D3">
      <w:pPr>
        <w:tabs>
          <w:tab w:val="left" w:pos="540"/>
        </w:tabs>
        <w:ind w:left="540" w:hanging="540"/>
        <w:rPr>
          <w:lang w:val="fr-CA"/>
        </w:rPr>
      </w:pPr>
      <w:r w:rsidRPr="00271B77">
        <w:rPr>
          <w:lang w:val="fr-CA"/>
        </w:rPr>
        <w:t>4.1</w:t>
      </w:r>
      <w:r w:rsidRPr="00271B77">
        <w:rPr>
          <w:lang w:val="fr-CA"/>
        </w:rPr>
        <w:tab/>
        <w:t xml:space="preserve">Tout projet de recherche </w:t>
      </w:r>
      <w:r w:rsidR="00271B77">
        <w:rPr>
          <w:lang w:val="fr-CA"/>
        </w:rPr>
        <w:t>compren</w:t>
      </w:r>
      <w:r w:rsidRPr="00271B77">
        <w:rPr>
          <w:lang w:val="fr-CA"/>
        </w:rPr>
        <w:t>ant des participants humains, y compris le recours à des incitations ou à une rémunération, doit être conforme à l</w:t>
      </w:r>
      <w:r w:rsidR="00C932F2" w:rsidRPr="00271B77">
        <w:rPr>
          <w:lang w:val="fr-CA"/>
        </w:rPr>
        <w:t>’</w:t>
      </w:r>
      <w:r w:rsidRPr="00271B77">
        <w:rPr>
          <w:lang w:val="fr-CA"/>
        </w:rPr>
        <w:t>Énoncé de politique des trois Conseils : Éthique de la recherche avec des êtres humains, décembre 2010, ou à toute version ultérieure.</w:t>
      </w:r>
    </w:p>
    <w:p w:rsidR="003F321A" w:rsidRPr="00271B77" w:rsidRDefault="003F321A" w:rsidP="001D04D3">
      <w:pPr>
        <w:tabs>
          <w:tab w:val="left" w:pos="540"/>
        </w:tabs>
        <w:ind w:left="540" w:hanging="540"/>
        <w:rPr>
          <w:lang w:val="fr-CA"/>
        </w:rPr>
      </w:pPr>
    </w:p>
    <w:p w:rsidR="00FE2741" w:rsidRPr="00271B77" w:rsidRDefault="001D04D3" w:rsidP="001D04D3">
      <w:pPr>
        <w:tabs>
          <w:tab w:val="left" w:pos="540"/>
        </w:tabs>
        <w:ind w:left="540" w:hanging="540"/>
        <w:rPr>
          <w:lang w:val="fr-CA"/>
        </w:rPr>
      </w:pPr>
      <w:r w:rsidRPr="00271B77">
        <w:rPr>
          <w:lang w:val="fr-CA"/>
        </w:rPr>
        <w:t>4.2</w:t>
      </w:r>
      <w:r w:rsidRPr="00271B77">
        <w:rPr>
          <w:lang w:val="fr-CA"/>
        </w:rPr>
        <w:tab/>
        <w:t>Toute incitation doit être a) approuvée par l</w:t>
      </w:r>
      <w:r w:rsidR="00C932F2" w:rsidRPr="00271B77">
        <w:rPr>
          <w:lang w:val="fr-CA"/>
        </w:rPr>
        <w:t>’</w:t>
      </w:r>
      <w:r w:rsidRPr="00271B77">
        <w:rPr>
          <w:lang w:val="fr-CA"/>
        </w:rPr>
        <w:t>Université Laurentienne dans le cadre de la demande de financement; b) une ligne budgétaire dans la demande de financement; c) approuvée dans le cadre du projet financé par l</w:t>
      </w:r>
      <w:r w:rsidR="00C932F2" w:rsidRPr="00271B77">
        <w:rPr>
          <w:lang w:val="fr-CA"/>
        </w:rPr>
        <w:t>’</w:t>
      </w:r>
      <w:r w:rsidRPr="00271B77">
        <w:rPr>
          <w:lang w:val="fr-CA"/>
        </w:rPr>
        <w:t>organisme de financement en question; d) approuvée par le Co</w:t>
      </w:r>
      <w:r w:rsidR="00271B77">
        <w:rPr>
          <w:lang w:val="fr-CA"/>
        </w:rPr>
        <w:t>nseil</w:t>
      </w:r>
      <w:r w:rsidRPr="00271B77">
        <w:rPr>
          <w:lang w:val="fr-CA"/>
        </w:rPr>
        <w:t xml:space="preserve"> d</w:t>
      </w:r>
      <w:r w:rsidR="00C932F2" w:rsidRPr="00271B77">
        <w:rPr>
          <w:lang w:val="fr-CA"/>
        </w:rPr>
        <w:t>’</w:t>
      </w:r>
      <w:r w:rsidRPr="00271B77">
        <w:rPr>
          <w:lang w:val="fr-CA"/>
        </w:rPr>
        <w:t>éthique de la recherche de l</w:t>
      </w:r>
      <w:r w:rsidR="00C932F2" w:rsidRPr="00271B77">
        <w:rPr>
          <w:lang w:val="fr-CA"/>
        </w:rPr>
        <w:t>’</w:t>
      </w:r>
      <w:r w:rsidRPr="00271B77">
        <w:rPr>
          <w:lang w:val="fr-CA"/>
        </w:rPr>
        <w:t>Université Laurentienne conformément à l</w:t>
      </w:r>
      <w:r w:rsidR="00C932F2" w:rsidRPr="00271B77">
        <w:rPr>
          <w:lang w:val="fr-CA"/>
        </w:rPr>
        <w:t>’</w:t>
      </w:r>
      <w:r w:rsidRPr="00271B77">
        <w:rPr>
          <w:lang w:val="fr-CA"/>
        </w:rPr>
        <w:t>Énoncé de politique des trois Conseils : Éthique de la recherche avec des êtres humains (décembre 2010)</w:t>
      </w:r>
      <w:r w:rsidR="000B37B0">
        <w:rPr>
          <w:lang w:val="fr-CA"/>
        </w:rPr>
        <w:t xml:space="preserve">, </w:t>
      </w:r>
      <w:r w:rsidRPr="00271B77">
        <w:rPr>
          <w:lang w:val="fr-CA"/>
        </w:rPr>
        <w:t>et déclarée dans le formulaire de consentement éclairé signé par les participants à la recherche.</w:t>
      </w:r>
    </w:p>
    <w:p w:rsidR="003F321A" w:rsidRPr="00271B77" w:rsidRDefault="003F321A" w:rsidP="001D04D3">
      <w:pPr>
        <w:tabs>
          <w:tab w:val="left" w:pos="540"/>
        </w:tabs>
        <w:ind w:left="540" w:hanging="540"/>
        <w:rPr>
          <w:lang w:val="fr-CA"/>
        </w:rPr>
      </w:pPr>
    </w:p>
    <w:p w:rsidR="003F321A" w:rsidRPr="00271B77" w:rsidRDefault="001D04D3" w:rsidP="001D04D3">
      <w:pPr>
        <w:tabs>
          <w:tab w:val="left" w:pos="540"/>
        </w:tabs>
        <w:ind w:left="540" w:hanging="540"/>
        <w:rPr>
          <w:lang w:val="fr-CA"/>
        </w:rPr>
      </w:pPr>
      <w:r w:rsidRPr="00271B77">
        <w:rPr>
          <w:lang w:val="fr-CA"/>
        </w:rPr>
        <w:t>4.3</w:t>
      </w:r>
      <w:r w:rsidRPr="00271B77">
        <w:rPr>
          <w:lang w:val="fr-CA"/>
        </w:rPr>
        <w:tab/>
        <w:t>Le recours aux incitations doit être conforme aux exigences prévues au chapitre 3, à l</w:t>
      </w:r>
      <w:r w:rsidR="00C932F2" w:rsidRPr="00271B77">
        <w:rPr>
          <w:lang w:val="fr-CA"/>
        </w:rPr>
        <w:t>’</w:t>
      </w:r>
      <w:r w:rsidRPr="00271B77">
        <w:rPr>
          <w:lang w:val="fr-CA"/>
        </w:rPr>
        <w:t>article 3.1 de l</w:t>
      </w:r>
      <w:r w:rsidR="00C932F2" w:rsidRPr="00271B77">
        <w:rPr>
          <w:lang w:val="fr-CA"/>
        </w:rPr>
        <w:t>’</w:t>
      </w:r>
      <w:r w:rsidRPr="00271B77">
        <w:rPr>
          <w:lang w:val="fr-CA"/>
        </w:rPr>
        <w:t>Énoncé de politique des trois Conseils : Éthique de la recherche avec des êtres humains (décembre 2010), cependant « les incitations offertes ne devraient pas être importantes ou attrayantes au point d</w:t>
      </w:r>
      <w:r w:rsidR="00C932F2" w:rsidRPr="00271B77">
        <w:rPr>
          <w:lang w:val="fr-CA"/>
        </w:rPr>
        <w:t>’</w:t>
      </w:r>
      <w:r w:rsidRPr="00271B77">
        <w:rPr>
          <w:lang w:val="fr-CA"/>
        </w:rPr>
        <w:t>encourager la personne à faire fi des risques... Dans certains contextes, il est possible que les participants éventuels perçoivent les incitations comme une façon de gagner des faveurs ou d</w:t>
      </w:r>
      <w:r w:rsidR="00C932F2" w:rsidRPr="00271B77">
        <w:rPr>
          <w:lang w:val="fr-CA"/>
        </w:rPr>
        <w:t>’</w:t>
      </w:r>
      <w:r w:rsidRPr="00271B77">
        <w:rPr>
          <w:lang w:val="fr-CA"/>
        </w:rPr>
        <w:t xml:space="preserve">améliorer leur situation. Cela équivaudrait à une incitation indue et invaliderait de ce fait le caractère </w:t>
      </w:r>
      <w:r w:rsidRPr="00271B77">
        <w:rPr>
          <w:lang w:val="fr-CA"/>
        </w:rPr>
        <w:lastRenderedPageBreak/>
        <w:t>volontaire du consentement des participants. » Énoncé de politique des trois Conseils : Éthique de la recherche avec des êtres humains; décembre 2010</w:t>
      </w:r>
      <w:r w:rsidR="0028348A" w:rsidRPr="00271B77">
        <w:rPr>
          <w:lang w:val="fr-CA"/>
        </w:rPr>
        <w:t>.</w:t>
      </w:r>
      <w:r w:rsidRPr="00271B77">
        <w:rPr>
          <w:lang w:val="fr-CA"/>
        </w:rPr>
        <w:t xml:space="preserve"> Des exemples</w:t>
      </w:r>
      <w:r w:rsidR="0028348A" w:rsidRPr="00271B77">
        <w:rPr>
          <w:lang w:val="fr-CA"/>
        </w:rPr>
        <w:t xml:space="preserve"> sont</w:t>
      </w:r>
      <w:r w:rsidRPr="00271B77">
        <w:rPr>
          <w:lang w:val="fr-CA"/>
        </w:rPr>
        <w:t>, sans s</w:t>
      </w:r>
      <w:r w:rsidR="00C932F2" w:rsidRPr="00271B77">
        <w:rPr>
          <w:lang w:val="fr-CA"/>
        </w:rPr>
        <w:t>’</w:t>
      </w:r>
      <w:r w:rsidRPr="00271B77">
        <w:rPr>
          <w:lang w:val="fr-CA"/>
        </w:rPr>
        <w:t>y limiter, le fait qu</w:t>
      </w:r>
      <w:r w:rsidR="00C932F2" w:rsidRPr="00271B77">
        <w:rPr>
          <w:lang w:val="fr-CA"/>
        </w:rPr>
        <w:t>’</w:t>
      </w:r>
      <w:r w:rsidRPr="00271B77">
        <w:rPr>
          <w:lang w:val="fr-CA"/>
        </w:rPr>
        <w:t xml:space="preserve">un </w:t>
      </w:r>
      <w:r w:rsidR="00271B77">
        <w:rPr>
          <w:lang w:val="fr-CA"/>
        </w:rPr>
        <w:t xml:space="preserve">membre du corps </w:t>
      </w:r>
      <w:r w:rsidRPr="00271B77">
        <w:rPr>
          <w:lang w:val="fr-CA"/>
        </w:rPr>
        <w:t>profess</w:t>
      </w:r>
      <w:r w:rsidR="00271B77">
        <w:rPr>
          <w:lang w:val="fr-CA"/>
        </w:rPr>
        <w:t>oral</w:t>
      </w:r>
      <w:r w:rsidRPr="00271B77">
        <w:rPr>
          <w:lang w:val="fr-CA"/>
        </w:rPr>
        <w:t xml:space="preserve"> demande aux étudiants de participer à une étude en leur offrant des notes comme une incitation ou des récompenses ou des prix à des populations vulnérables telles que les personnes démunies.</w:t>
      </w:r>
    </w:p>
    <w:p w:rsidR="00C76A24" w:rsidRPr="00271B77" w:rsidRDefault="00C76A24" w:rsidP="001D04D3">
      <w:pPr>
        <w:tabs>
          <w:tab w:val="left" w:pos="540"/>
        </w:tabs>
        <w:ind w:left="540" w:hanging="540"/>
        <w:rPr>
          <w:lang w:val="fr-CA"/>
        </w:rPr>
      </w:pPr>
    </w:p>
    <w:p w:rsidR="00C76A24" w:rsidRPr="00271B77" w:rsidRDefault="001D04D3" w:rsidP="001D04D3">
      <w:pPr>
        <w:tabs>
          <w:tab w:val="left" w:pos="540"/>
        </w:tabs>
        <w:ind w:left="540" w:hanging="540"/>
        <w:rPr>
          <w:lang w:val="fr-CA"/>
        </w:rPr>
      </w:pPr>
      <w:r w:rsidRPr="00271B77">
        <w:rPr>
          <w:lang w:val="fr-CA"/>
        </w:rPr>
        <w:t>4.4</w:t>
      </w:r>
      <w:r w:rsidRPr="00271B77">
        <w:rPr>
          <w:lang w:val="fr-CA"/>
        </w:rPr>
        <w:tab/>
        <w:t xml:space="preserve">Le CERUL est appelé à </w:t>
      </w:r>
      <w:r w:rsidR="001165B6" w:rsidRPr="00271B77">
        <w:rPr>
          <w:lang w:val="fr-CA"/>
        </w:rPr>
        <w:t xml:space="preserve">s’assurer que </w:t>
      </w:r>
      <w:r w:rsidRPr="00271B77">
        <w:rPr>
          <w:lang w:val="fr-CA"/>
        </w:rPr>
        <w:t xml:space="preserve">les projets de recherche offrant des incitations </w:t>
      </w:r>
      <w:r w:rsidR="00826A25" w:rsidRPr="00271B77">
        <w:rPr>
          <w:lang w:val="fr-CA"/>
        </w:rPr>
        <w:t xml:space="preserve">aux </w:t>
      </w:r>
      <w:r w:rsidRPr="00271B77">
        <w:rPr>
          <w:lang w:val="fr-CA"/>
        </w:rPr>
        <w:t>participants se conforment aux exigences éthiques à l</w:t>
      </w:r>
      <w:r w:rsidR="00C932F2" w:rsidRPr="00271B77">
        <w:rPr>
          <w:lang w:val="fr-CA"/>
        </w:rPr>
        <w:t>’</w:t>
      </w:r>
      <w:r w:rsidRPr="00271B77">
        <w:rPr>
          <w:lang w:val="fr-CA"/>
        </w:rPr>
        <w:t>endroit des chercheurs et de l</w:t>
      </w:r>
      <w:r w:rsidR="00C932F2" w:rsidRPr="00271B77">
        <w:rPr>
          <w:lang w:val="fr-CA"/>
        </w:rPr>
        <w:t>’</w:t>
      </w:r>
      <w:r w:rsidRPr="00271B77">
        <w:rPr>
          <w:lang w:val="fr-CA"/>
        </w:rPr>
        <w:t>établissement</w:t>
      </w:r>
      <w:r w:rsidR="00826A25" w:rsidRPr="00271B77">
        <w:rPr>
          <w:lang w:val="fr-CA"/>
        </w:rPr>
        <w:t xml:space="preserve">, lesquelles </w:t>
      </w:r>
      <w:r w:rsidRPr="00271B77">
        <w:rPr>
          <w:lang w:val="fr-CA"/>
        </w:rPr>
        <w:t>vis</w:t>
      </w:r>
      <w:r w:rsidR="00826A25" w:rsidRPr="00271B77">
        <w:rPr>
          <w:lang w:val="fr-CA"/>
        </w:rPr>
        <w:t>e</w:t>
      </w:r>
      <w:r w:rsidRPr="00271B77">
        <w:rPr>
          <w:lang w:val="fr-CA"/>
        </w:rPr>
        <w:t xml:space="preserve">nt </w:t>
      </w:r>
      <w:r w:rsidR="00826A25" w:rsidRPr="00271B77">
        <w:rPr>
          <w:lang w:val="fr-CA"/>
        </w:rPr>
        <w:t xml:space="preserve">à </w:t>
      </w:r>
      <w:r w:rsidRPr="00271B77">
        <w:rPr>
          <w:lang w:val="fr-CA"/>
        </w:rPr>
        <w:t>protéger, de façon strictement confidentielle, les renseignements personnels de chaque participant à la recherche.</w:t>
      </w:r>
    </w:p>
    <w:p w:rsidR="00FE2741" w:rsidRPr="00271B77" w:rsidRDefault="00FE2741" w:rsidP="001D04D3">
      <w:pPr>
        <w:tabs>
          <w:tab w:val="left" w:pos="540"/>
        </w:tabs>
        <w:ind w:left="540" w:hanging="540"/>
        <w:rPr>
          <w:lang w:val="fr-CA"/>
        </w:rPr>
      </w:pPr>
    </w:p>
    <w:p w:rsidR="009864E8" w:rsidRPr="00271B77" w:rsidRDefault="001D04D3" w:rsidP="001D04D3">
      <w:pPr>
        <w:tabs>
          <w:tab w:val="left" w:pos="540"/>
        </w:tabs>
        <w:ind w:left="540" w:hanging="540"/>
        <w:rPr>
          <w:lang w:val="fr-CA"/>
        </w:rPr>
      </w:pPr>
      <w:r w:rsidRPr="00271B77">
        <w:rPr>
          <w:lang w:val="fr-CA"/>
        </w:rPr>
        <w:t>4.5</w:t>
      </w:r>
      <w:r w:rsidRPr="00271B77">
        <w:rPr>
          <w:lang w:val="fr-CA"/>
        </w:rPr>
        <w:tab/>
        <w:t>Afin d</w:t>
      </w:r>
      <w:r w:rsidR="000B37B0">
        <w:rPr>
          <w:lang w:val="fr-CA"/>
        </w:rPr>
        <w:t>e</w:t>
      </w:r>
      <w:r w:rsidRPr="00271B77">
        <w:rPr>
          <w:lang w:val="fr-CA"/>
        </w:rPr>
        <w:t xml:space="preserve"> rembours</w:t>
      </w:r>
      <w:r w:rsidR="000B37B0">
        <w:rPr>
          <w:lang w:val="fr-CA"/>
        </w:rPr>
        <w:t>er</w:t>
      </w:r>
      <w:r w:rsidRPr="00271B77">
        <w:rPr>
          <w:lang w:val="fr-CA"/>
        </w:rPr>
        <w:t xml:space="preserve"> les dépenses liées aux incitations, le chercheur doit fournir aux Services financiers une demande de remboursement </w:t>
      </w:r>
      <w:r w:rsidR="002A4596" w:rsidRPr="00271B77">
        <w:rPr>
          <w:lang w:val="fr-CA"/>
        </w:rPr>
        <w:t xml:space="preserve">à laquelle est </w:t>
      </w:r>
      <w:r w:rsidRPr="00271B77">
        <w:rPr>
          <w:lang w:val="fr-CA"/>
        </w:rPr>
        <w:t>join</w:t>
      </w:r>
      <w:r w:rsidR="002A4596" w:rsidRPr="00271B77">
        <w:rPr>
          <w:lang w:val="fr-CA"/>
        </w:rPr>
        <w:t>t u</w:t>
      </w:r>
      <w:r w:rsidRPr="00271B77">
        <w:rPr>
          <w:lang w:val="fr-CA"/>
        </w:rPr>
        <w:t>n reçu indiquant le coût total des achats (prix, cadeaux, cartes de fidélité ou c</w:t>
      </w:r>
      <w:r w:rsidR="000B37B0">
        <w:rPr>
          <w:lang w:val="fr-CA"/>
        </w:rPr>
        <w:t>hèques</w:t>
      </w:r>
      <w:r w:rsidRPr="00271B77">
        <w:rPr>
          <w:lang w:val="fr-CA"/>
        </w:rPr>
        <w:t>-cadeaux). Le chercheur doit également indiquer dans la demande de remboursement le nombre de participants et le montant en argent remis à chaque participant à titre d</w:t>
      </w:r>
      <w:r w:rsidR="00C932F2" w:rsidRPr="00271B77">
        <w:rPr>
          <w:lang w:val="fr-CA"/>
        </w:rPr>
        <w:t>’</w:t>
      </w:r>
      <w:r w:rsidRPr="00271B77">
        <w:rPr>
          <w:lang w:val="fr-CA"/>
        </w:rPr>
        <w:t>incitatif. Il sera de la responsabilité d</w:t>
      </w:r>
      <w:r w:rsidR="00DD7730">
        <w:rPr>
          <w:lang w:val="fr-CA"/>
        </w:rPr>
        <w:t>e l’instance</w:t>
      </w:r>
      <w:r w:rsidRPr="00271B77">
        <w:rPr>
          <w:lang w:val="fr-CA"/>
        </w:rPr>
        <w:t xml:space="preserve"> d</w:t>
      </w:r>
      <w:r w:rsidR="00C932F2" w:rsidRPr="00271B77">
        <w:rPr>
          <w:lang w:val="fr-CA"/>
        </w:rPr>
        <w:t>’</w:t>
      </w:r>
      <w:r w:rsidRPr="00271B77">
        <w:rPr>
          <w:lang w:val="fr-CA"/>
        </w:rPr>
        <w:t>approbation (en l</w:t>
      </w:r>
      <w:r w:rsidR="00C932F2" w:rsidRPr="00271B77">
        <w:rPr>
          <w:lang w:val="fr-CA"/>
        </w:rPr>
        <w:t>’</w:t>
      </w:r>
      <w:r w:rsidRPr="00271B77">
        <w:rPr>
          <w:lang w:val="fr-CA"/>
        </w:rPr>
        <w:t>occurrence le superviseur) de vérifier que les montants sont conformes aux montants budgétisés approuvés à l</w:t>
      </w:r>
      <w:r w:rsidR="00C932F2" w:rsidRPr="00271B77">
        <w:rPr>
          <w:lang w:val="fr-CA"/>
        </w:rPr>
        <w:t>’</w:t>
      </w:r>
      <w:r w:rsidRPr="00271B77">
        <w:rPr>
          <w:lang w:val="fr-CA"/>
        </w:rPr>
        <w:t>article 4.1.</w:t>
      </w:r>
    </w:p>
    <w:p w:rsidR="009864E8" w:rsidRPr="00271B77" w:rsidRDefault="009864E8" w:rsidP="001D04D3">
      <w:pPr>
        <w:tabs>
          <w:tab w:val="left" w:pos="540"/>
        </w:tabs>
        <w:ind w:left="540" w:hanging="540"/>
        <w:rPr>
          <w:lang w:val="fr-CA"/>
        </w:rPr>
      </w:pPr>
    </w:p>
    <w:p w:rsidR="002D0E1C" w:rsidRPr="00271B77" w:rsidRDefault="001D04D3" w:rsidP="001D04D3">
      <w:pPr>
        <w:tabs>
          <w:tab w:val="left" w:pos="540"/>
        </w:tabs>
        <w:ind w:left="540" w:hanging="540"/>
        <w:rPr>
          <w:lang w:val="fr-CA"/>
        </w:rPr>
      </w:pPr>
      <w:r w:rsidRPr="00271B77">
        <w:rPr>
          <w:lang w:val="fr-CA"/>
        </w:rPr>
        <w:t>4.6</w:t>
      </w:r>
      <w:r w:rsidRPr="00271B77">
        <w:rPr>
          <w:lang w:val="fr-CA"/>
        </w:rPr>
        <w:tab/>
        <w:t>L</w:t>
      </w:r>
      <w:r w:rsidR="00C932F2" w:rsidRPr="00271B77">
        <w:rPr>
          <w:lang w:val="fr-CA"/>
        </w:rPr>
        <w:t>’</w:t>
      </w:r>
      <w:r w:rsidRPr="00271B77">
        <w:rPr>
          <w:lang w:val="fr-CA"/>
        </w:rPr>
        <w:t xml:space="preserve">Université est tenue de délivrer un feuillet T4 à tout participant à la recherche ayant reçu une rémunération de 500 </w:t>
      </w:r>
      <w:r w:rsidR="00271B77">
        <w:rPr>
          <w:lang w:val="fr-CA"/>
        </w:rPr>
        <w:t>$</w:t>
      </w:r>
      <w:r w:rsidRPr="00271B77">
        <w:rPr>
          <w:lang w:val="fr-CA"/>
        </w:rPr>
        <w:t xml:space="preserve"> ou plus par an. Cette exigence entraîne la divulgation aux Services financiers de l</w:t>
      </w:r>
      <w:r w:rsidR="00C932F2" w:rsidRPr="00271B77">
        <w:rPr>
          <w:lang w:val="fr-CA"/>
        </w:rPr>
        <w:t>’</w:t>
      </w:r>
      <w:r w:rsidRPr="00271B77">
        <w:rPr>
          <w:lang w:val="fr-CA"/>
        </w:rPr>
        <w:t>Université d</w:t>
      </w:r>
      <w:r w:rsidR="002A4596" w:rsidRPr="00271B77">
        <w:rPr>
          <w:lang w:val="fr-CA"/>
        </w:rPr>
        <w:t>u</w:t>
      </w:r>
      <w:r w:rsidRPr="00271B77">
        <w:rPr>
          <w:lang w:val="fr-CA"/>
        </w:rPr>
        <w:t xml:space="preserve"> nom</w:t>
      </w:r>
      <w:r w:rsidR="002A4596" w:rsidRPr="00271B77">
        <w:rPr>
          <w:lang w:val="fr-CA"/>
        </w:rPr>
        <w:t xml:space="preserve"> </w:t>
      </w:r>
      <w:r w:rsidRPr="00271B77">
        <w:rPr>
          <w:lang w:val="fr-CA"/>
        </w:rPr>
        <w:t xml:space="preserve">et autres renseignements personnels des bénéficiaires et, de ce fait, doit être stipulée dans le formulaire de consentement afin que tout participant éventuel sache pleinement la mesure dans laquelle les renseignements personnels seront divulgués (EPTC 2, chapitre 3, alinéa 3.2 (j)). Les participants autochtones et les traitements versés aux aînés sont exemptés </w:t>
      </w:r>
      <w:r w:rsidR="002A4596" w:rsidRPr="00271B77">
        <w:rPr>
          <w:lang w:val="fr-CA"/>
        </w:rPr>
        <w:t>de</w:t>
      </w:r>
      <w:r w:rsidRPr="00271B77">
        <w:rPr>
          <w:lang w:val="fr-CA"/>
        </w:rPr>
        <w:t xml:space="preserve"> cette exigence, en vertu du règlement de l</w:t>
      </w:r>
      <w:r w:rsidR="00C932F2" w:rsidRPr="00271B77">
        <w:rPr>
          <w:lang w:val="fr-CA"/>
        </w:rPr>
        <w:t>’</w:t>
      </w:r>
      <w:r w:rsidRPr="00271B77">
        <w:rPr>
          <w:lang w:val="fr-CA"/>
        </w:rPr>
        <w:t xml:space="preserve">ARC, lorsque la recherche est </w:t>
      </w:r>
      <w:r w:rsidR="002A4596" w:rsidRPr="00271B77">
        <w:rPr>
          <w:lang w:val="fr-CA"/>
        </w:rPr>
        <w:t xml:space="preserve">menée </w:t>
      </w:r>
      <w:r w:rsidRPr="00271B77">
        <w:rPr>
          <w:lang w:val="fr-CA"/>
        </w:rPr>
        <w:t>dans les territoires d</w:t>
      </w:r>
      <w:r w:rsidR="00C932F2" w:rsidRPr="00271B77">
        <w:rPr>
          <w:lang w:val="fr-CA"/>
        </w:rPr>
        <w:t>’</w:t>
      </w:r>
      <w:r w:rsidR="00271B77">
        <w:rPr>
          <w:lang w:val="fr-CA"/>
        </w:rPr>
        <w:t>une Première Nation.</w:t>
      </w:r>
    </w:p>
    <w:sectPr w:rsidR="002D0E1C" w:rsidRPr="00271B77" w:rsidSect="0070487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AA" w:rsidRDefault="00E348AA" w:rsidP="00F20ABA">
      <w:r>
        <w:separator/>
      </w:r>
    </w:p>
  </w:endnote>
  <w:endnote w:type="continuationSeparator" w:id="0">
    <w:p w:rsidR="00E348AA" w:rsidRDefault="00E348AA" w:rsidP="00F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155589"/>
      <w:docPartObj>
        <w:docPartGallery w:val="Page Numbers (Bottom of Page)"/>
        <w:docPartUnique/>
      </w:docPartObj>
    </w:sdtPr>
    <w:sdtEndPr>
      <w:rPr>
        <w:rFonts w:ascii="Calibri" w:hAnsi="Calibri"/>
        <w:noProof/>
        <w:sz w:val="22"/>
      </w:rPr>
    </w:sdtEndPr>
    <w:sdtContent>
      <w:p w:rsidR="001D04D3" w:rsidRPr="001D04D3" w:rsidRDefault="001D04D3">
        <w:pPr>
          <w:pStyle w:val="Footer"/>
          <w:jc w:val="center"/>
          <w:rPr>
            <w:rFonts w:ascii="Calibri" w:hAnsi="Calibri"/>
            <w:sz w:val="22"/>
          </w:rPr>
        </w:pPr>
        <w:r w:rsidRPr="001D04D3">
          <w:rPr>
            <w:rFonts w:ascii="Calibri" w:hAnsi="Calibri"/>
            <w:sz w:val="22"/>
          </w:rPr>
          <w:fldChar w:fldCharType="begin"/>
        </w:r>
        <w:r w:rsidRPr="001D04D3">
          <w:rPr>
            <w:rFonts w:ascii="Calibri" w:hAnsi="Calibri"/>
            <w:sz w:val="22"/>
          </w:rPr>
          <w:instrText xml:space="preserve"> PAGE   \* MERGEFORMAT </w:instrText>
        </w:r>
        <w:r w:rsidRPr="001D04D3">
          <w:rPr>
            <w:rFonts w:ascii="Calibri" w:hAnsi="Calibri"/>
            <w:sz w:val="22"/>
          </w:rPr>
          <w:fldChar w:fldCharType="separate"/>
        </w:r>
        <w:r w:rsidR="00F04569">
          <w:rPr>
            <w:rFonts w:ascii="Calibri" w:hAnsi="Calibri"/>
            <w:noProof/>
            <w:sz w:val="22"/>
          </w:rPr>
          <w:t>1</w:t>
        </w:r>
        <w:r w:rsidRPr="001D04D3">
          <w:rPr>
            <w:rFonts w:ascii="Calibri" w:hAnsi="Calibri"/>
            <w:noProof/>
            <w:sz w:val="22"/>
          </w:rPr>
          <w:fldChar w:fldCharType="end"/>
        </w:r>
      </w:p>
    </w:sdtContent>
  </w:sdt>
  <w:p w:rsidR="001D04D3" w:rsidRDefault="001D0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AA" w:rsidRDefault="00E348AA" w:rsidP="00F20ABA">
      <w:r>
        <w:separator/>
      </w:r>
    </w:p>
  </w:footnote>
  <w:footnote w:type="continuationSeparator" w:id="0">
    <w:p w:rsidR="00E348AA" w:rsidRDefault="00E348AA" w:rsidP="00F20ABA">
      <w:r>
        <w:continuationSeparator/>
      </w:r>
    </w:p>
  </w:footnote>
  <w:footnote w:id="1">
    <w:p w:rsidR="001D04D3" w:rsidRPr="00F20ABA" w:rsidRDefault="001D04D3">
      <w:pPr>
        <w:pStyle w:val="FootnoteText"/>
      </w:pPr>
      <w:r>
        <w:rPr>
          <w:rStyle w:val="FootnoteReference"/>
        </w:rPr>
        <w:footnoteRef/>
      </w:r>
      <w:r>
        <w:t xml:space="preserve"> Les Instituts de recherche en santé du Canada, le Conseil de recherches en sciences naturelles et en génie et le Conseil de recherches en sciences humaines du Canada; </w:t>
      </w:r>
      <w:r>
        <w:rPr>
          <w:i/>
        </w:rPr>
        <w:t xml:space="preserve">Énoncé de politique des trois Conseils : Éthique de la recherche avec des êtres humains; </w:t>
      </w:r>
      <w:r>
        <w:t>décembre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46F"/>
    <w:multiLevelType w:val="multilevel"/>
    <w:tmpl w:val="4E347D68"/>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ascii="Times New Roman" w:hAnsi="Times New Roman" w:hint="default"/>
        <w:color w:val="161616"/>
      </w:rPr>
    </w:lvl>
    <w:lvl w:ilvl="2">
      <w:start w:val="1"/>
      <w:numFmt w:val="decimal"/>
      <w:isLgl/>
      <w:lvlText w:val="%1.%2.%3"/>
      <w:lvlJc w:val="left"/>
      <w:pPr>
        <w:ind w:left="1080" w:hanging="720"/>
      </w:pPr>
      <w:rPr>
        <w:rFonts w:ascii="Times New Roman" w:hAnsi="Times New Roman" w:hint="default"/>
        <w:color w:val="161616"/>
      </w:rPr>
    </w:lvl>
    <w:lvl w:ilvl="3">
      <w:start w:val="1"/>
      <w:numFmt w:val="decimal"/>
      <w:isLgl/>
      <w:lvlText w:val="%1.%2.%3.%4"/>
      <w:lvlJc w:val="left"/>
      <w:pPr>
        <w:ind w:left="1440" w:hanging="1080"/>
      </w:pPr>
      <w:rPr>
        <w:rFonts w:ascii="Times New Roman" w:hAnsi="Times New Roman" w:hint="default"/>
        <w:color w:val="161616"/>
      </w:rPr>
    </w:lvl>
    <w:lvl w:ilvl="4">
      <w:start w:val="1"/>
      <w:numFmt w:val="decimal"/>
      <w:isLgl/>
      <w:lvlText w:val="%1.%2.%3.%4.%5"/>
      <w:lvlJc w:val="left"/>
      <w:pPr>
        <w:ind w:left="1440" w:hanging="1080"/>
      </w:pPr>
      <w:rPr>
        <w:rFonts w:ascii="Times New Roman" w:hAnsi="Times New Roman" w:hint="default"/>
        <w:color w:val="161616"/>
      </w:rPr>
    </w:lvl>
    <w:lvl w:ilvl="5">
      <w:start w:val="1"/>
      <w:numFmt w:val="decimal"/>
      <w:isLgl/>
      <w:lvlText w:val="%1.%2.%3.%4.%5.%6"/>
      <w:lvlJc w:val="left"/>
      <w:pPr>
        <w:ind w:left="1800" w:hanging="1440"/>
      </w:pPr>
      <w:rPr>
        <w:rFonts w:ascii="Times New Roman" w:hAnsi="Times New Roman" w:hint="default"/>
        <w:color w:val="161616"/>
      </w:rPr>
    </w:lvl>
    <w:lvl w:ilvl="6">
      <w:start w:val="1"/>
      <w:numFmt w:val="decimal"/>
      <w:isLgl/>
      <w:lvlText w:val="%1.%2.%3.%4.%5.%6.%7"/>
      <w:lvlJc w:val="left"/>
      <w:pPr>
        <w:ind w:left="1800" w:hanging="1440"/>
      </w:pPr>
      <w:rPr>
        <w:rFonts w:ascii="Times New Roman" w:hAnsi="Times New Roman" w:hint="default"/>
        <w:color w:val="161616"/>
      </w:rPr>
    </w:lvl>
    <w:lvl w:ilvl="7">
      <w:start w:val="1"/>
      <w:numFmt w:val="decimal"/>
      <w:isLgl/>
      <w:lvlText w:val="%1.%2.%3.%4.%5.%6.%7.%8"/>
      <w:lvlJc w:val="left"/>
      <w:pPr>
        <w:ind w:left="2160" w:hanging="1800"/>
      </w:pPr>
      <w:rPr>
        <w:rFonts w:ascii="Times New Roman" w:hAnsi="Times New Roman" w:hint="default"/>
        <w:color w:val="161616"/>
      </w:rPr>
    </w:lvl>
    <w:lvl w:ilvl="8">
      <w:start w:val="1"/>
      <w:numFmt w:val="decimal"/>
      <w:isLgl/>
      <w:lvlText w:val="%1.%2.%3.%4.%5.%6.%7.%8.%9"/>
      <w:lvlJc w:val="left"/>
      <w:pPr>
        <w:ind w:left="2160" w:hanging="1800"/>
      </w:pPr>
      <w:rPr>
        <w:rFonts w:ascii="Times New Roman" w:hAnsi="Times New Roman" w:hint="default"/>
        <w:color w:val="1616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1C"/>
    <w:rsid w:val="000968A3"/>
    <w:rsid w:val="000B37B0"/>
    <w:rsid w:val="000F0BF5"/>
    <w:rsid w:val="00112468"/>
    <w:rsid w:val="001165B6"/>
    <w:rsid w:val="001D04D3"/>
    <w:rsid w:val="001E69EE"/>
    <w:rsid w:val="00224DC6"/>
    <w:rsid w:val="00271B77"/>
    <w:rsid w:val="0028348A"/>
    <w:rsid w:val="002A1876"/>
    <w:rsid w:val="002A4596"/>
    <w:rsid w:val="002D0E1C"/>
    <w:rsid w:val="002D11A6"/>
    <w:rsid w:val="00325666"/>
    <w:rsid w:val="00397759"/>
    <w:rsid w:val="003B7209"/>
    <w:rsid w:val="003D3F43"/>
    <w:rsid w:val="003D7819"/>
    <w:rsid w:val="003F321A"/>
    <w:rsid w:val="00410939"/>
    <w:rsid w:val="00431614"/>
    <w:rsid w:val="004D63E7"/>
    <w:rsid w:val="00511783"/>
    <w:rsid w:val="00572294"/>
    <w:rsid w:val="00575741"/>
    <w:rsid w:val="00576379"/>
    <w:rsid w:val="005E7691"/>
    <w:rsid w:val="006635EE"/>
    <w:rsid w:val="006F5E34"/>
    <w:rsid w:val="00704877"/>
    <w:rsid w:val="007049EE"/>
    <w:rsid w:val="007801B9"/>
    <w:rsid w:val="00785190"/>
    <w:rsid w:val="00815699"/>
    <w:rsid w:val="00815DA5"/>
    <w:rsid w:val="00826A25"/>
    <w:rsid w:val="008412AF"/>
    <w:rsid w:val="008F4E79"/>
    <w:rsid w:val="0090508B"/>
    <w:rsid w:val="00911ECF"/>
    <w:rsid w:val="009154A9"/>
    <w:rsid w:val="00935BB7"/>
    <w:rsid w:val="00977DF4"/>
    <w:rsid w:val="009864E8"/>
    <w:rsid w:val="009A3C34"/>
    <w:rsid w:val="009C3863"/>
    <w:rsid w:val="009C5EF9"/>
    <w:rsid w:val="00AC3F36"/>
    <w:rsid w:val="00AE2FAC"/>
    <w:rsid w:val="00B95E55"/>
    <w:rsid w:val="00BB34F9"/>
    <w:rsid w:val="00C012E3"/>
    <w:rsid w:val="00C76A24"/>
    <w:rsid w:val="00C932F2"/>
    <w:rsid w:val="00CA2A3A"/>
    <w:rsid w:val="00CF03FA"/>
    <w:rsid w:val="00D35308"/>
    <w:rsid w:val="00D66F7D"/>
    <w:rsid w:val="00DD7730"/>
    <w:rsid w:val="00E348AA"/>
    <w:rsid w:val="00E57747"/>
    <w:rsid w:val="00E67D77"/>
    <w:rsid w:val="00E72EDD"/>
    <w:rsid w:val="00EA69FE"/>
    <w:rsid w:val="00ED3D93"/>
    <w:rsid w:val="00F04569"/>
    <w:rsid w:val="00F20ABA"/>
    <w:rsid w:val="00F85F14"/>
    <w:rsid w:val="00FA011F"/>
    <w:rsid w:val="00FE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1C"/>
    <w:pPr>
      <w:ind w:left="720"/>
      <w:contextualSpacing/>
    </w:pPr>
  </w:style>
  <w:style w:type="paragraph" w:styleId="NormalWeb">
    <w:name w:val="Normal (Web)"/>
    <w:basedOn w:val="Normal"/>
    <w:uiPriority w:val="99"/>
    <w:unhideWhenUsed/>
    <w:rsid w:val="009C5EF9"/>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F20ABA"/>
  </w:style>
  <w:style w:type="character" w:customStyle="1" w:styleId="FootnoteTextChar">
    <w:name w:val="Footnote Text Char"/>
    <w:basedOn w:val="DefaultParagraphFont"/>
    <w:link w:val="FootnoteText"/>
    <w:uiPriority w:val="99"/>
    <w:rsid w:val="00F20ABA"/>
  </w:style>
  <w:style w:type="character" w:styleId="FootnoteReference">
    <w:name w:val="footnote reference"/>
    <w:basedOn w:val="DefaultParagraphFont"/>
    <w:uiPriority w:val="99"/>
    <w:unhideWhenUsed/>
    <w:rsid w:val="00F20ABA"/>
    <w:rPr>
      <w:vertAlign w:val="superscript"/>
    </w:rPr>
  </w:style>
  <w:style w:type="table" w:styleId="TableGrid">
    <w:name w:val="Table Grid"/>
    <w:basedOn w:val="TableNormal"/>
    <w:uiPriority w:val="59"/>
    <w:rsid w:val="0084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699"/>
    <w:rPr>
      <w:sz w:val="16"/>
      <w:szCs w:val="16"/>
    </w:rPr>
  </w:style>
  <w:style w:type="paragraph" w:styleId="CommentText">
    <w:name w:val="annotation text"/>
    <w:basedOn w:val="Normal"/>
    <w:link w:val="CommentTextChar"/>
    <w:uiPriority w:val="99"/>
    <w:semiHidden/>
    <w:unhideWhenUsed/>
    <w:rsid w:val="00815699"/>
    <w:rPr>
      <w:sz w:val="20"/>
      <w:szCs w:val="20"/>
    </w:rPr>
  </w:style>
  <w:style w:type="character" w:customStyle="1" w:styleId="CommentTextChar">
    <w:name w:val="Comment Text Char"/>
    <w:basedOn w:val="DefaultParagraphFont"/>
    <w:link w:val="CommentText"/>
    <w:uiPriority w:val="99"/>
    <w:semiHidden/>
    <w:rsid w:val="00815699"/>
    <w:rPr>
      <w:sz w:val="20"/>
      <w:szCs w:val="20"/>
    </w:rPr>
  </w:style>
  <w:style w:type="paragraph" w:styleId="CommentSubject">
    <w:name w:val="annotation subject"/>
    <w:basedOn w:val="CommentText"/>
    <w:next w:val="CommentText"/>
    <w:link w:val="CommentSubjectChar"/>
    <w:uiPriority w:val="99"/>
    <w:semiHidden/>
    <w:unhideWhenUsed/>
    <w:rsid w:val="00815699"/>
    <w:rPr>
      <w:b/>
      <w:bCs/>
    </w:rPr>
  </w:style>
  <w:style w:type="character" w:customStyle="1" w:styleId="CommentSubjectChar">
    <w:name w:val="Comment Subject Char"/>
    <w:basedOn w:val="CommentTextChar"/>
    <w:link w:val="CommentSubject"/>
    <w:uiPriority w:val="99"/>
    <w:semiHidden/>
    <w:rsid w:val="00815699"/>
    <w:rPr>
      <w:b/>
      <w:bCs/>
      <w:sz w:val="20"/>
      <w:szCs w:val="20"/>
    </w:rPr>
  </w:style>
  <w:style w:type="paragraph" w:styleId="BalloonText">
    <w:name w:val="Balloon Text"/>
    <w:basedOn w:val="Normal"/>
    <w:link w:val="BalloonTextChar"/>
    <w:uiPriority w:val="99"/>
    <w:semiHidden/>
    <w:unhideWhenUsed/>
    <w:rsid w:val="00815699"/>
    <w:rPr>
      <w:rFonts w:ascii="Tahoma" w:hAnsi="Tahoma" w:cs="Tahoma"/>
      <w:sz w:val="16"/>
      <w:szCs w:val="16"/>
    </w:rPr>
  </w:style>
  <w:style w:type="character" w:customStyle="1" w:styleId="BalloonTextChar">
    <w:name w:val="Balloon Text Char"/>
    <w:basedOn w:val="DefaultParagraphFont"/>
    <w:link w:val="BalloonText"/>
    <w:uiPriority w:val="99"/>
    <w:semiHidden/>
    <w:rsid w:val="00815699"/>
    <w:rPr>
      <w:rFonts w:ascii="Tahoma" w:hAnsi="Tahoma" w:cs="Tahoma"/>
      <w:sz w:val="16"/>
      <w:szCs w:val="16"/>
    </w:rPr>
  </w:style>
  <w:style w:type="paragraph" w:styleId="Header">
    <w:name w:val="header"/>
    <w:basedOn w:val="Normal"/>
    <w:link w:val="HeaderChar"/>
    <w:uiPriority w:val="99"/>
    <w:unhideWhenUsed/>
    <w:rsid w:val="000968A3"/>
    <w:pPr>
      <w:tabs>
        <w:tab w:val="center" w:pos="4680"/>
        <w:tab w:val="right" w:pos="9360"/>
      </w:tabs>
    </w:pPr>
  </w:style>
  <w:style w:type="character" w:customStyle="1" w:styleId="HeaderChar">
    <w:name w:val="Header Char"/>
    <w:basedOn w:val="DefaultParagraphFont"/>
    <w:link w:val="Header"/>
    <w:uiPriority w:val="99"/>
    <w:rsid w:val="000968A3"/>
  </w:style>
  <w:style w:type="paragraph" w:styleId="Footer">
    <w:name w:val="footer"/>
    <w:basedOn w:val="Normal"/>
    <w:link w:val="FooterChar"/>
    <w:uiPriority w:val="99"/>
    <w:unhideWhenUsed/>
    <w:rsid w:val="000968A3"/>
    <w:pPr>
      <w:tabs>
        <w:tab w:val="center" w:pos="4680"/>
        <w:tab w:val="right" w:pos="9360"/>
      </w:tabs>
    </w:pPr>
  </w:style>
  <w:style w:type="character" w:customStyle="1" w:styleId="FooterChar">
    <w:name w:val="Footer Char"/>
    <w:basedOn w:val="DefaultParagraphFont"/>
    <w:link w:val="Footer"/>
    <w:uiPriority w:val="99"/>
    <w:rsid w:val="0009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1C"/>
    <w:pPr>
      <w:ind w:left="720"/>
      <w:contextualSpacing/>
    </w:pPr>
  </w:style>
  <w:style w:type="paragraph" w:styleId="NormalWeb">
    <w:name w:val="Normal (Web)"/>
    <w:basedOn w:val="Normal"/>
    <w:uiPriority w:val="99"/>
    <w:unhideWhenUsed/>
    <w:rsid w:val="009C5EF9"/>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F20ABA"/>
  </w:style>
  <w:style w:type="character" w:customStyle="1" w:styleId="FootnoteTextChar">
    <w:name w:val="Footnote Text Char"/>
    <w:basedOn w:val="DefaultParagraphFont"/>
    <w:link w:val="FootnoteText"/>
    <w:uiPriority w:val="99"/>
    <w:rsid w:val="00F20ABA"/>
  </w:style>
  <w:style w:type="character" w:styleId="FootnoteReference">
    <w:name w:val="footnote reference"/>
    <w:basedOn w:val="DefaultParagraphFont"/>
    <w:uiPriority w:val="99"/>
    <w:unhideWhenUsed/>
    <w:rsid w:val="00F20ABA"/>
    <w:rPr>
      <w:vertAlign w:val="superscript"/>
    </w:rPr>
  </w:style>
  <w:style w:type="table" w:styleId="TableGrid">
    <w:name w:val="Table Grid"/>
    <w:basedOn w:val="TableNormal"/>
    <w:uiPriority w:val="59"/>
    <w:rsid w:val="0084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699"/>
    <w:rPr>
      <w:sz w:val="16"/>
      <w:szCs w:val="16"/>
    </w:rPr>
  </w:style>
  <w:style w:type="paragraph" w:styleId="CommentText">
    <w:name w:val="annotation text"/>
    <w:basedOn w:val="Normal"/>
    <w:link w:val="CommentTextChar"/>
    <w:uiPriority w:val="99"/>
    <w:semiHidden/>
    <w:unhideWhenUsed/>
    <w:rsid w:val="00815699"/>
    <w:rPr>
      <w:sz w:val="20"/>
      <w:szCs w:val="20"/>
    </w:rPr>
  </w:style>
  <w:style w:type="character" w:customStyle="1" w:styleId="CommentTextChar">
    <w:name w:val="Comment Text Char"/>
    <w:basedOn w:val="DefaultParagraphFont"/>
    <w:link w:val="CommentText"/>
    <w:uiPriority w:val="99"/>
    <w:semiHidden/>
    <w:rsid w:val="00815699"/>
    <w:rPr>
      <w:sz w:val="20"/>
      <w:szCs w:val="20"/>
    </w:rPr>
  </w:style>
  <w:style w:type="paragraph" w:styleId="CommentSubject">
    <w:name w:val="annotation subject"/>
    <w:basedOn w:val="CommentText"/>
    <w:next w:val="CommentText"/>
    <w:link w:val="CommentSubjectChar"/>
    <w:uiPriority w:val="99"/>
    <w:semiHidden/>
    <w:unhideWhenUsed/>
    <w:rsid w:val="00815699"/>
    <w:rPr>
      <w:b/>
      <w:bCs/>
    </w:rPr>
  </w:style>
  <w:style w:type="character" w:customStyle="1" w:styleId="CommentSubjectChar">
    <w:name w:val="Comment Subject Char"/>
    <w:basedOn w:val="CommentTextChar"/>
    <w:link w:val="CommentSubject"/>
    <w:uiPriority w:val="99"/>
    <w:semiHidden/>
    <w:rsid w:val="00815699"/>
    <w:rPr>
      <w:b/>
      <w:bCs/>
      <w:sz w:val="20"/>
      <w:szCs w:val="20"/>
    </w:rPr>
  </w:style>
  <w:style w:type="paragraph" w:styleId="BalloonText">
    <w:name w:val="Balloon Text"/>
    <w:basedOn w:val="Normal"/>
    <w:link w:val="BalloonTextChar"/>
    <w:uiPriority w:val="99"/>
    <w:semiHidden/>
    <w:unhideWhenUsed/>
    <w:rsid w:val="00815699"/>
    <w:rPr>
      <w:rFonts w:ascii="Tahoma" w:hAnsi="Tahoma" w:cs="Tahoma"/>
      <w:sz w:val="16"/>
      <w:szCs w:val="16"/>
    </w:rPr>
  </w:style>
  <w:style w:type="character" w:customStyle="1" w:styleId="BalloonTextChar">
    <w:name w:val="Balloon Text Char"/>
    <w:basedOn w:val="DefaultParagraphFont"/>
    <w:link w:val="BalloonText"/>
    <w:uiPriority w:val="99"/>
    <w:semiHidden/>
    <w:rsid w:val="00815699"/>
    <w:rPr>
      <w:rFonts w:ascii="Tahoma" w:hAnsi="Tahoma" w:cs="Tahoma"/>
      <w:sz w:val="16"/>
      <w:szCs w:val="16"/>
    </w:rPr>
  </w:style>
  <w:style w:type="paragraph" w:styleId="Header">
    <w:name w:val="header"/>
    <w:basedOn w:val="Normal"/>
    <w:link w:val="HeaderChar"/>
    <w:uiPriority w:val="99"/>
    <w:unhideWhenUsed/>
    <w:rsid w:val="000968A3"/>
    <w:pPr>
      <w:tabs>
        <w:tab w:val="center" w:pos="4680"/>
        <w:tab w:val="right" w:pos="9360"/>
      </w:tabs>
    </w:pPr>
  </w:style>
  <w:style w:type="character" w:customStyle="1" w:styleId="HeaderChar">
    <w:name w:val="Header Char"/>
    <w:basedOn w:val="DefaultParagraphFont"/>
    <w:link w:val="Header"/>
    <w:uiPriority w:val="99"/>
    <w:rsid w:val="000968A3"/>
  </w:style>
  <w:style w:type="paragraph" w:styleId="Footer">
    <w:name w:val="footer"/>
    <w:basedOn w:val="Normal"/>
    <w:link w:val="FooterChar"/>
    <w:uiPriority w:val="99"/>
    <w:unhideWhenUsed/>
    <w:rsid w:val="000968A3"/>
    <w:pPr>
      <w:tabs>
        <w:tab w:val="center" w:pos="4680"/>
        <w:tab w:val="right" w:pos="9360"/>
      </w:tabs>
    </w:pPr>
  </w:style>
  <w:style w:type="character" w:customStyle="1" w:styleId="FooterChar">
    <w:name w:val="Footer Char"/>
    <w:basedOn w:val="DefaultParagraphFont"/>
    <w:link w:val="Footer"/>
    <w:uiPriority w:val="99"/>
    <w:rsid w:val="0009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629">
      <w:bodyDiv w:val="1"/>
      <w:marLeft w:val="0"/>
      <w:marRight w:val="0"/>
      <w:marTop w:val="0"/>
      <w:marBottom w:val="0"/>
      <w:divBdr>
        <w:top w:val="none" w:sz="0" w:space="0" w:color="auto"/>
        <w:left w:val="none" w:sz="0" w:space="0" w:color="auto"/>
        <w:bottom w:val="none" w:sz="0" w:space="0" w:color="auto"/>
        <w:right w:val="none" w:sz="0" w:space="0" w:color="auto"/>
      </w:divBdr>
      <w:divsChild>
        <w:div w:id="716901791">
          <w:marLeft w:val="0"/>
          <w:marRight w:val="0"/>
          <w:marTop w:val="0"/>
          <w:marBottom w:val="0"/>
          <w:divBdr>
            <w:top w:val="none" w:sz="0" w:space="0" w:color="auto"/>
            <w:left w:val="none" w:sz="0" w:space="0" w:color="auto"/>
            <w:bottom w:val="none" w:sz="0" w:space="0" w:color="auto"/>
            <w:right w:val="none" w:sz="0" w:space="0" w:color="auto"/>
          </w:divBdr>
          <w:divsChild>
            <w:div w:id="1897470146">
              <w:marLeft w:val="0"/>
              <w:marRight w:val="0"/>
              <w:marTop w:val="0"/>
              <w:marBottom w:val="0"/>
              <w:divBdr>
                <w:top w:val="none" w:sz="0" w:space="0" w:color="auto"/>
                <w:left w:val="none" w:sz="0" w:space="0" w:color="auto"/>
                <w:bottom w:val="none" w:sz="0" w:space="0" w:color="auto"/>
                <w:right w:val="none" w:sz="0" w:space="0" w:color="auto"/>
              </w:divBdr>
              <w:divsChild>
                <w:div w:id="40906358">
                  <w:marLeft w:val="0"/>
                  <w:marRight w:val="0"/>
                  <w:marTop w:val="0"/>
                  <w:marBottom w:val="0"/>
                  <w:divBdr>
                    <w:top w:val="none" w:sz="0" w:space="0" w:color="auto"/>
                    <w:left w:val="none" w:sz="0" w:space="0" w:color="auto"/>
                    <w:bottom w:val="none" w:sz="0" w:space="0" w:color="auto"/>
                    <w:right w:val="none" w:sz="0" w:space="0" w:color="auto"/>
                  </w:divBdr>
                </w:div>
              </w:divsChild>
            </w:div>
            <w:div w:id="839387982">
              <w:marLeft w:val="0"/>
              <w:marRight w:val="0"/>
              <w:marTop w:val="0"/>
              <w:marBottom w:val="0"/>
              <w:divBdr>
                <w:top w:val="none" w:sz="0" w:space="0" w:color="auto"/>
                <w:left w:val="none" w:sz="0" w:space="0" w:color="auto"/>
                <w:bottom w:val="none" w:sz="0" w:space="0" w:color="auto"/>
                <w:right w:val="none" w:sz="0" w:space="0" w:color="auto"/>
              </w:divBdr>
              <w:divsChild>
                <w:div w:id="1395272404">
                  <w:marLeft w:val="0"/>
                  <w:marRight w:val="0"/>
                  <w:marTop w:val="0"/>
                  <w:marBottom w:val="0"/>
                  <w:divBdr>
                    <w:top w:val="none" w:sz="0" w:space="0" w:color="auto"/>
                    <w:left w:val="none" w:sz="0" w:space="0" w:color="auto"/>
                    <w:bottom w:val="none" w:sz="0" w:space="0" w:color="auto"/>
                    <w:right w:val="none" w:sz="0" w:space="0" w:color="auto"/>
                  </w:divBdr>
                </w:div>
                <w:div w:id="371198027">
                  <w:marLeft w:val="0"/>
                  <w:marRight w:val="0"/>
                  <w:marTop w:val="0"/>
                  <w:marBottom w:val="0"/>
                  <w:divBdr>
                    <w:top w:val="none" w:sz="0" w:space="0" w:color="auto"/>
                    <w:left w:val="none" w:sz="0" w:space="0" w:color="auto"/>
                    <w:bottom w:val="none" w:sz="0" w:space="0" w:color="auto"/>
                    <w:right w:val="none" w:sz="0" w:space="0" w:color="auto"/>
                  </w:divBdr>
                </w:div>
              </w:divsChild>
            </w:div>
            <w:div w:id="2037147216">
              <w:marLeft w:val="0"/>
              <w:marRight w:val="0"/>
              <w:marTop w:val="0"/>
              <w:marBottom w:val="0"/>
              <w:divBdr>
                <w:top w:val="none" w:sz="0" w:space="0" w:color="auto"/>
                <w:left w:val="none" w:sz="0" w:space="0" w:color="auto"/>
                <w:bottom w:val="none" w:sz="0" w:space="0" w:color="auto"/>
                <w:right w:val="none" w:sz="0" w:space="0" w:color="auto"/>
              </w:divBdr>
              <w:divsChild>
                <w:div w:id="1297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825247">
          <w:marLeft w:val="0"/>
          <w:marRight w:val="0"/>
          <w:marTop w:val="0"/>
          <w:marBottom w:val="0"/>
          <w:divBdr>
            <w:top w:val="none" w:sz="0" w:space="0" w:color="auto"/>
            <w:left w:val="none" w:sz="0" w:space="0" w:color="auto"/>
            <w:bottom w:val="none" w:sz="0" w:space="0" w:color="auto"/>
            <w:right w:val="none" w:sz="0" w:space="0" w:color="auto"/>
          </w:divBdr>
          <w:divsChild>
            <w:div w:id="1518041053">
              <w:marLeft w:val="0"/>
              <w:marRight w:val="0"/>
              <w:marTop w:val="0"/>
              <w:marBottom w:val="0"/>
              <w:divBdr>
                <w:top w:val="none" w:sz="0" w:space="0" w:color="auto"/>
                <w:left w:val="none" w:sz="0" w:space="0" w:color="auto"/>
                <w:bottom w:val="none" w:sz="0" w:space="0" w:color="auto"/>
                <w:right w:val="none" w:sz="0" w:space="0" w:color="auto"/>
              </w:divBdr>
              <w:divsChild>
                <w:div w:id="119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pzanetti</cp:lastModifiedBy>
  <cp:revision>2</cp:revision>
  <cp:lastPrinted>2015-01-30T18:09:00Z</cp:lastPrinted>
  <dcterms:created xsi:type="dcterms:W3CDTF">2016-06-14T12:56:00Z</dcterms:created>
  <dcterms:modified xsi:type="dcterms:W3CDTF">2016-06-14T12:56:00Z</dcterms:modified>
</cp:coreProperties>
</file>